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184150</wp:posOffset>
            </wp:positionV>
            <wp:extent cx="15259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276"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53340</wp:posOffset>
            </wp:positionV>
            <wp:extent cx="15259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3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420" w:hanging="394"/>
        <w:spacing w:after="0"/>
        <w:tabs>
          <w:tab w:leader="none" w:pos="42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2026</w:t>
      </w:r>
    </w:p>
    <w:p>
      <w:pPr>
        <w:spacing w:after="0" w:line="2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46"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47"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181717"/>
                <w:w w:val="99"/>
              </w:rPr>
              <w:t>For the transition period from __ to __</w:t>
            </w:r>
          </w:p>
        </w:tc>
        <w:tc>
          <w:tcPr>
            <w:tcW w:w="3920" w:type="dxa"/>
            <w:vAlign w:val="bottom"/>
          </w:tcPr>
          <w:p>
            <w:pPr>
              <w:spacing w:after="0"/>
              <w:rPr>
                <w:sz w:val="20"/>
                <w:szCs w:val="20"/>
                <w:color w:val="auto"/>
              </w:rPr>
            </w:pPr>
          </w:p>
        </w:tc>
      </w:tr>
      <w:tr>
        <w:trPr>
          <w:trHeight w:val="432"/>
        </w:trPr>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Commission file number 001-41979</w:t>
            </w:r>
          </w:p>
        </w:tc>
        <w:tc>
          <w:tcPr>
            <w:tcW w:w="3920" w:type="dxa"/>
            <w:vAlign w:val="bottom"/>
          </w:tcPr>
          <w:p>
            <w:pPr>
              <w:spacing w:after="0"/>
              <w:rPr>
                <w:sz w:val="24"/>
                <w:szCs w:val="24"/>
                <w:color w:val="auto"/>
              </w:rPr>
            </w:pPr>
          </w:p>
        </w:tc>
      </w:tr>
      <w:tr>
        <w:trPr>
          <w:trHeight w:val="270"/>
        </w:trPr>
        <w:tc>
          <w:tcPr>
            <w:tcW w:w="3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80" w:type="dxa"/>
            <w:vAlign w:val="bottom"/>
            <w:gridSpan w:val="2"/>
          </w:tcPr>
          <w:p>
            <w:pPr>
              <w:spacing w:after="0"/>
              <w:rPr>
                <w:sz w:val="23"/>
                <w:szCs w:val="23"/>
                <w:color w:val="auto"/>
              </w:rPr>
            </w:pPr>
          </w:p>
        </w:tc>
        <w:tc>
          <w:tcPr>
            <w:tcW w:w="3920" w:type="dxa"/>
            <w:vAlign w:val="bottom"/>
          </w:tcPr>
          <w:p>
            <w:pPr>
              <w:spacing w:after="0"/>
              <w:rPr>
                <w:sz w:val="23"/>
                <w:szCs w:val="23"/>
                <w:color w:val="auto"/>
              </w:rPr>
            </w:pPr>
          </w:p>
        </w:tc>
      </w:tr>
      <w:tr>
        <w:trPr>
          <w:trHeight w:val="433"/>
        </w:trPr>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32"/>
                <w:szCs w:val="32"/>
                <w:b w:val="1"/>
                <w:bCs w:val="1"/>
                <w:color w:val="auto"/>
              </w:rPr>
              <w:t>Astera Labs, Inc.</w:t>
            </w:r>
          </w:p>
        </w:tc>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349"/>
        </w:trPr>
        <w:tc>
          <w:tcPr>
            <w:tcW w:w="11260" w:type="dxa"/>
            <w:vAlign w:val="bottom"/>
            <w:gridSpan w:val="7"/>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(Exact name of registrant as specified in its charter)</w:t>
            </w:r>
          </w:p>
        </w:tc>
      </w:tr>
      <w:tr>
        <w:trPr>
          <w:trHeight w:val="474"/>
        </w:trPr>
        <w:tc>
          <w:tcPr>
            <w:tcW w:w="3920" w:type="dxa"/>
            <w:vAlign w:val="bottom"/>
          </w:tcPr>
          <w:p>
            <w:pPr>
              <w:jc w:val="center"/>
              <w:ind w:left="6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rPr>
              <w:t>82-3437062</w:t>
            </w:r>
          </w:p>
        </w:tc>
      </w:tr>
      <w:tr>
        <w:trPr>
          <w:trHeight w:val="252"/>
        </w:trPr>
        <w:tc>
          <w:tcPr>
            <w:tcW w:w="3920" w:type="dxa"/>
            <w:vAlign w:val="bottom"/>
          </w:tcPr>
          <w:p>
            <w:pPr>
              <w:jc w:val="center"/>
              <w:ind w:left="68"/>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2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920" w:type="dxa"/>
            <w:vAlign w:val="bottom"/>
          </w:tcPr>
          <w:p>
            <w:pPr>
              <w:jc w:val="center"/>
              <w:ind w:left="68"/>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4"/>
        </w:trPr>
        <w:tc>
          <w:tcPr>
            <w:tcW w:w="3920" w:type="dxa"/>
            <w:vAlign w:val="bottom"/>
          </w:tcPr>
          <w:p>
            <w:pPr>
              <w:spacing w:after="0"/>
              <w:rPr>
                <w:sz w:val="24"/>
                <w:szCs w:val="24"/>
                <w:color w:val="auto"/>
              </w:rPr>
            </w:pPr>
          </w:p>
        </w:tc>
        <w:tc>
          <w:tcPr>
            <w:tcW w:w="34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2345 North First Street, San Jose, CA 95131</w:t>
            </w:r>
          </w:p>
        </w:tc>
        <w:tc>
          <w:tcPr>
            <w:tcW w:w="3920" w:type="dxa"/>
            <w:vAlign w:val="bottom"/>
          </w:tcPr>
          <w:p>
            <w:pPr>
              <w:spacing w:after="0"/>
              <w:rPr>
                <w:sz w:val="24"/>
                <w:szCs w:val="24"/>
                <w:color w:val="auto"/>
              </w:rPr>
            </w:pPr>
          </w:p>
        </w:tc>
      </w:tr>
      <w:tr>
        <w:trPr>
          <w:trHeight w:val="270"/>
        </w:trPr>
        <w:tc>
          <w:tcPr>
            <w:tcW w:w="1126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r>
        <w:trPr>
          <w:trHeight w:val="270"/>
        </w:trPr>
        <w:tc>
          <w:tcPr>
            <w:tcW w:w="3920" w:type="dxa"/>
            <w:vAlign w:val="bottom"/>
          </w:tcPr>
          <w:p>
            <w:pPr>
              <w:spacing w:after="0"/>
              <w:rPr>
                <w:sz w:val="23"/>
                <w:szCs w:val="23"/>
                <w:color w:val="auto"/>
              </w:rPr>
            </w:pPr>
          </w:p>
        </w:tc>
        <w:tc>
          <w:tcPr>
            <w:tcW w:w="274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(408) 766-3806</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920" w:type="dxa"/>
            <w:vAlign w:val="bottom"/>
          </w:tcPr>
          <w:p>
            <w:pPr>
              <w:spacing w:after="0"/>
              <w:rPr>
                <w:sz w:val="23"/>
                <w:szCs w:val="23"/>
                <w:color w:val="auto"/>
              </w:rPr>
            </w:pPr>
          </w:p>
        </w:tc>
      </w:tr>
      <w:tr>
        <w:trPr>
          <w:trHeight w:val="337"/>
        </w:trPr>
        <w:tc>
          <w:tcPr>
            <w:tcW w:w="1126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32"/>
        </w:trPr>
        <w:tc>
          <w:tcPr>
            <w:tcW w:w="7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920" w:type="dxa"/>
            <w:vAlign w:val="bottom"/>
          </w:tcPr>
          <w:p>
            <w:pPr>
              <w:spacing w:after="0"/>
              <w:rPr>
                <w:sz w:val="24"/>
                <w:szCs w:val="24"/>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37"/>
        </w:trPr>
        <w:tc>
          <w:tcPr>
            <w:tcW w:w="3920" w:type="dxa"/>
            <w:vAlign w:val="bottom"/>
            <w:tcBorders>
              <w:left w:val="single" w:sz="8" w:color="auto"/>
            </w:tcBorders>
          </w:tcPr>
          <w:p>
            <w:pPr>
              <w:jc w:val="center"/>
              <w:ind w:left="608"/>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Borders>
              <w:right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39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3920" w:type="dxa"/>
            <w:vAlign w:val="bottom"/>
            <w:tcBorders>
              <w:bottom w:val="single" w:sz="8" w:color="auto"/>
              <w:right w:val="single" w:sz="8" w:color="auto"/>
            </w:tcBorders>
          </w:tcPr>
          <w:p>
            <w:pPr>
              <w:spacing w:after="0"/>
              <w:rPr>
                <w:sz w:val="2"/>
                <w:szCs w:val="2"/>
                <w:color w:val="auto"/>
              </w:rPr>
            </w:pPr>
          </w:p>
        </w:tc>
      </w:tr>
      <w:tr>
        <w:trPr>
          <w:trHeight w:val="237"/>
        </w:trPr>
        <w:tc>
          <w:tcPr>
            <w:tcW w:w="3920" w:type="dxa"/>
            <w:vAlign w:val="bottom"/>
            <w:tcBorders>
              <w:left w:val="single" w:sz="8" w:color="auto"/>
            </w:tcBorders>
          </w:tcPr>
          <w:p>
            <w:pPr>
              <w:jc w:val="center"/>
              <w:ind w:left="588"/>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ALAB</w:t>
            </w:r>
          </w:p>
        </w:tc>
        <w:tc>
          <w:tcPr>
            <w:tcW w:w="680" w:type="dxa"/>
            <w:vAlign w:val="bottom"/>
            <w:gridSpan w:val="2"/>
          </w:tcPr>
          <w:p>
            <w:pPr>
              <w:spacing w:after="0"/>
              <w:rPr>
                <w:sz w:val="20"/>
                <w:szCs w:val="20"/>
                <w:color w:val="auto"/>
              </w:rPr>
            </w:pPr>
          </w:p>
        </w:tc>
        <w:tc>
          <w:tcPr>
            <w:tcW w:w="3920" w:type="dxa"/>
            <w:vAlign w:val="bottom"/>
            <w:tcBorders>
              <w:right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39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920" w:type="dxa"/>
            <w:vAlign w:val="bottom"/>
            <w:tcBorders>
              <w:bottom w:val="single" w:sz="8" w:color="auto"/>
              <w:right w:val="single" w:sz="8" w:color="auto"/>
            </w:tcBorders>
          </w:tcPr>
          <w:p>
            <w:pPr>
              <w:spacing w:after="0"/>
              <w:rPr>
                <w:sz w:val="2"/>
                <w:szCs w:val="2"/>
                <w:color w:val="auto"/>
              </w:rPr>
            </w:pPr>
          </w:p>
        </w:tc>
      </w:tr>
    </w:tbl>
    <w:p>
      <w:pPr>
        <w:spacing w:after="0" w:line="292" w:lineRule="exact"/>
        <w:rPr>
          <w:sz w:val="24"/>
          <w:szCs w:val="24"/>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1817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160"/>
        <w:spacing w:after="0"/>
        <w:tabs>
          <w:tab w:leader="none" w:pos="10800" w:val="left"/>
        </w:tabs>
        <w:rPr>
          <w:sz w:val="20"/>
          <w:szCs w:val="20"/>
          <w:color w:val="auto"/>
        </w:rPr>
      </w:pPr>
      <w:r>
        <w:rPr>
          <w:rFonts w:ascii="Times New Roman" w:cs="Times New Roman" w:eastAsia="Times New Roman" w:hAnsi="Times New Roman"/>
          <w:sz w:val="18"/>
          <w:szCs w:val="18"/>
          <w:color w:val="181717"/>
        </w:rPr>
        <w:t xml:space="preserve">Yes </w:t>
      </w:r>
      <w:r>
        <w:rPr>
          <w:rFonts w:ascii="Wingdings" w:cs="Wingdings" w:eastAsia="Wingdings" w:hAnsi="Wingdings"/>
          <w:sz w:val="18"/>
          <w:szCs w:val="18"/>
          <w:b w:val="1"/>
          <w:bCs w:val="1"/>
          <w:color w:val="181717"/>
        </w:rPr>
        <w:t>x</w:t>
      </w:r>
      <w:r>
        <w:rPr>
          <w:sz w:val="20"/>
          <w:szCs w:val="20"/>
          <w:color w:val="auto"/>
        </w:rPr>
        <w:tab/>
      </w:r>
      <w:r>
        <w:rPr>
          <w:rFonts w:ascii="Times New Roman" w:cs="Times New Roman" w:eastAsia="Times New Roman" w:hAnsi="Times New Roman"/>
          <w:sz w:val="17"/>
          <w:szCs w:val="17"/>
          <w:color w:val="181717"/>
        </w:rPr>
        <w:t xml:space="preserve">No </w:t>
      </w:r>
      <w:r>
        <w:rPr>
          <w:rFonts w:ascii="Wingdings" w:cs="Wingdings" w:eastAsia="Wingdings" w:hAnsi="Wingdings"/>
          <w:sz w:val="17"/>
          <w:szCs w:val="17"/>
          <w:b w:val="1"/>
          <w:bCs w:val="1"/>
          <w:color w:val="181717"/>
        </w:rPr>
        <w:t>o</w:t>
      </w:r>
    </w:p>
    <w:p>
      <w:pPr>
        <w:spacing w:after="0" w:line="207"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181717"/>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10160"/>
        <w:spacing w:after="0"/>
        <w:tabs>
          <w:tab w:leader="none" w:pos="10800" w:val="left"/>
        </w:tabs>
        <w:rPr>
          <w:sz w:val="20"/>
          <w:szCs w:val="20"/>
          <w:color w:val="auto"/>
        </w:rPr>
      </w:pPr>
      <w:r>
        <w:rPr>
          <w:rFonts w:ascii="Times New Roman" w:cs="Times New Roman" w:eastAsia="Times New Roman" w:hAnsi="Times New Roman"/>
          <w:sz w:val="18"/>
          <w:szCs w:val="18"/>
          <w:color w:val="181717"/>
        </w:rPr>
        <w:t xml:space="preserve">Yes </w:t>
      </w:r>
      <w:r>
        <w:rPr>
          <w:rFonts w:ascii="Wingdings" w:cs="Wingdings" w:eastAsia="Wingdings" w:hAnsi="Wingdings"/>
          <w:sz w:val="18"/>
          <w:szCs w:val="18"/>
          <w:b w:val="1"/>
          <w:bCs w:val="1"/>
          <w:color w:val="181717"/>
        </w:rPr>
        <w:t>x</w:t>
      </w:r>
      <w:r>
        <w:rPr>
          <w:sz w:val="20"/>
          <w:szCs w:val="20"/>
          <w:color w:val="auto"/>
        </w:rPr>
        <w:tab/>
      </w:r>
      <w:r>
        <w:rPr>
          <w:rFonts w:ascii="Times New Roman" w:cs="Times New Roman" w:eastAsia="Times New Roman" w:hAnsi="Times New Roman"/>
          <w:sz w:val="17"/>
          <w:szCs w:val="17"/>
          <w:color w:val="181717"/>
        </w:rPr>
        <w:t xml:space="preserve">No </w:t>
      </w:r>
      <w:r>
        <w:rPr>
          <w:rFonts w:ascii="Wingdings" w:cs="Wingdings" w:eastAsia="Wingdings" w:hAnsi="Wingdings"/>
          <w:sz w:val="17"/>
          <w:szCs w:val="17"/>
          <w:b w:val="1"/>
          <w:bCs w:val="1"/>
          <w:color w:val="181717"/>
        </w:rPr>
        <w:t>o</w:t>
      </w:r>
    </w:p>
    <w:p>
      <w:pPr>
        <w:spacing w:after="0" w:line="207"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1817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20" w:type="dxa"/>
            <w:vAlign w:val="bottom"/>
          </w:tcPr>
          <w:p>
            <w:pPr>
              <w:ind w:left="1000"/>
              <w:spacing w:after="0"/>
              <w:rPr>
                <w:sz w:val="20"/>
                <w:szCs w:val="20"/>
                <w:color w:val="auto"/>
              </w:rPr>
            </w:pPr>
            <w:r>
              <w:rPr>
                <w:rFonts w:ascii="Wingdings" w:cs="Wingdings" w:eastAsia="Wingdings" w:hAnsi="Wingdings"/>
                <w:sz w:val="18"/>
                <w:szCs w:val="18"/>
                <w:b w:val="1"/>
                <w:bCs w:val="1"/>
                <w:color w:val="auto"/>
              </w:rPr>
              <w:t>x</w:t>
            </w:r>
          </w:p>
        </w:tc>
        <w:tc>
          <w:tcPr>
            <w:tcW w:w="44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Accelerated filer</w:t>
            </w:r>
          </w:p>
        </w:tc>
        <w:tc>
          <w:tcPr>
            <w:tcW w:w="1000" w:type="dxa"/>
            <w:vAlign w:val="bottom"/>
          </w:tcPr>
          <w:p>
            <w:pPr>
              <w:ind w:left="840"/>
              <w:spacing w:after="0"/>
              <w:rPr>
                <w:sz w:val="20"/>
                <w:szCs w:val="20"/>
                <w:color w:val="auto"/>
              </w:rPr>
            </w:pPr>
            <w:r>
              <w:rPr>
                <w:rFonts w:ascii="Wingdings" w:cs="Wingdings" w:eastAsia="Wingdings" w:hAnsi="Wingdings"/>
                <w:sz w:val="18"/>
                <w:szCs w:val="18"/>
                <w:b w:val="1"/>
                <w:bCs w:val="1"/>
                <w:color w:val="auto"/>
                <w:w w:val="86"/>
              </w:rPr>
              <w:t>o</w:t>
            </w: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20" w:type="dxa"/>
            <w:vAlign w:val="bottom"/>
          </w:tcPr>
          <w:p>
            <w:pPr>
              <w:ind w:left="1000"/>
              <w:spacing w:after="0"/>
              <w:rPr>
                <w:sz w:val="20"/>
                <w:szCs w:val="20"/>
                <w:color w:val="auto"/>
              </w:rPr>
            </w:pPr>
            <w:r>
              <w:rPr>
                <w:rFonts w:ascii="Wingdings" w:cs="Wingdings" w:eastAsia="Wingdings" w:hAnsi="Wingdings"/>
                <w:sz w:val="18"/>
                <w:szCs w:val="18"/>
                <w:b w:val="1"/>
                <w:bCs w:val="1"/>
                <w:color w:val="auto"/>
              </w:rPr>
              <w:t>o</w:t>
            </w:r>
          </w:p>
        </w:tc>
        <w:tc>
          <w:tcPr>
            <w:tcW w:w="44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00" w:type="dxa"/>
            <w:vAlign w:val="bottom"/>
          </w:tcPr>
          <w:p>
            <w:pPr>
              <w:ind w:left="840"/>
              <w:spacing w:after="0"/>
              <w:rPr>
                <w:sz w:val="20"/>
                <w:szCs w:val="20"/>
                <w:color w:val="auto"/>
              </w:rPr>
            </w:pPr>
            <w:r>
              <w:rPr>
                <w:rFonts w:ascii="Wingdings" w:cs="Wingdings" w:eastAsia="Wingdings" w:hAnsi="Wingdings"/>
                <w:sz w:val="18"/>
                <w:szCs w:val="18"/>
                <w:b w:val="1"/>
                <w:bCs w:val="1"/>
                <w:color w:val="auto"/>
                <w:w w:val="86"/>
              </w:rPr>
              <w:t>o</w:t>
            </w:r>
          </w:p>
        </w:tc>
      </w:tr>
      <w:tr>
        <w:trPr>
          <w:trHeight w:val="270"/>
        </w:trPr>
        <w:tc>
          <w:tcPr>
            <w:tcW w:w="26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44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00" w:type="dxa"/>
            <w:vAlign w:val="bottom"/>
          </w:tcPr>
          <w:p>
            <w:pPr>
              <w:ind w:left="84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319"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181717"/>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11080"/>
        <w:spacing w:after="0" w:line="238" w:lineRule="auto"/>
        <w:rPr>
          <w:sz w:val="20"/>
          <w:szCs w:val="20"/>
          <w:color w:val="auto"/>
        </w:rPr>
      </w:pPr>
      <w:r>
        <w:rPr>
          <w:rFonts w:ascii="Wingdings" w:cs="Wingdings" w:eastAsia="Wingdings" w:hAnsi="Wingdings"/>
          <w:sz w:val="18"/>
          <w:szCs w:val="18"/>
          <w:b w:val="1"/>
          <w:bCs w:val="1"/>
          <w:color w:val="181717"/>
        </w:rPr>
        <w:t>o</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181717"/>
        </w:rPr>
        <w:t>Indicate by check mark whether the registrant is a shell company (as defined in Rule 12b-2 of the Act).</w:t>
      </w:r>
    </w:p>
    <w:p>
      <w:pPr>
        <w:spacing w:after="0" w:line="27" w:lineRule="exact"/>
        <w:rPr>
          <w:sz w:val="24"/>
          <w:szCs w:val="24"/>
          <w:color w:val="auto"/>
        </w:rPr>
      </w:pPr>
    </w:p>
    <w:p>
      <w:pPr>
        <w:ind w:left="10160"/>
        <w:spacing w:after="0"/>
        <w:tabs>
          <w:tab w:leader="none" w:pos="10760" w:val="left"/>
        </w:tabs>
        <w:rPr>
          <w:sz w:val="20"/>
          <w:szCs w:val="20"/>
          <w:color w:val="auto"/>
        </w:rPr>
      </w:pPr>
      <w:r>
        <w:rPr>
          <w:rFonts w:ascii="Times New Roman" w:cs="Times New Roman" w:eastAsia="Times New Roman" w:hAnsi="Times New Roman"/>
          <w:sz w:val="18"/>
          <w:szCs w:val="18"/>
          <w:color w:val="181717"/>
        </w:rPr>
        <w:t xml:space="preserve">Yes </w:t>
      </w:r>
      <w:r>
        <w:rPr>
          <w:rFonts w:ascii="Wingdings" w:cs="Wingdings" w:eastAsia="Wingdings" w:hAnsi="Wingdings"/>
          <w:sz w:val="18"/>
          <w:szCs w:val="18"/>
          <w:b w:val="1"/>
          <w:bCs w:val="1"/>
          <w:color w:val="181717"/>
        </w:rPr>
        <w:t>o</w:t>
      </w:r>
      <w:r>
        <w:rPr>
          <w:rFonts w:ascii="Times New Roman" w:cs="Times New Roman" w:eastAsia="Times New Roman" w:hAnsi="Times New Roman"/>
          <w:sz w:val="18"/>
          <w:szCs w:val="18"/>
          <w:color w:val="181717"/>
        </w:rPr>
        <w:tab/>
        <w:t xml:space="preserve">No </w:t>
      </w:r>
      <w:r>
        <w:rPr>
          <w:rFonts w:ascii="Wingdings" w:cs="Wingdings" w:eastAsia="Wingdings" w:hAnsi="Wingdings"/>
          <w:sz w:val="18"/>
          <w:szCs w:val="18"/>
          <w:b w:val="1"/>
          <w:bCs w:val="1"/>
          <w:color w:val="181717"/>
        </w:rPr>
        <w:t>x</w:t>
      </w:r>
    </w:p>
    <w:p>
      <w:pPr>
        <w:sectPr>
          <w:pgSz w:w="11900" w:h="16838" w:orient="portrait"/>
          <w:cols w:equalWidth="0" w:num="1">
            <w:col w:w="11260"/>
          </w:cols>
          <w:pgMar w:left="320" w:top="1440" w:right="31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181717"/>
        </w:rPr>
        <w:t>As of April 30, 2026, there were 171,407,939 shares of the Registrant’s Common Stock, $0.0001 par value,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808990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40" w:type="dxa"/>
            <w:vAlign w:val="bottom"/>
            <w:gridSpan w:val="9"/>
          </w:tcPr>
          <w:p>
            <w:pPr>
              <w:ind w:left="1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104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400" w:type="dxa"/>
            <w:vAlign w:val="bottom"/>
            <w:gridSpan w:val="19"/>
            <w:vMerge w:val="continue"/>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740" w:type="dxa"/>
            <w:vAlign w:val="bottom"/>
            <w:gridSpan w:val="9"/>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March 31, 2026 and December 31, 2025</w:t>
            </w:r>
          </w:p>
        </w:tc>
        <w:tc>
          <w:tcPr>
            <w:tcW w:w="2880" w:type="dxa"/>
            <w:vAlign w:val="bottom"/>
            <w:gridSpan w:val="5"/>
          </w:tcPr>
          <w:p>
            <w:pPr>
              <w:spacing w:after="0"/>
              <w:rPr>
                <w:sz w:val="21"/>
                <w:szCs w:val="21"/>
                <w:color w:val="auto"/>
              </w:rPr>
            </w:pPr>
          </w:p>
        </w:tc>
        <w:tc>
          <w:tcPr>
            <w:tcW w:w="46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0000FF"/>
                <w:w w:val="88"/>
              </w:rPr>
              <w:t>1</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Income for the three months ended March 31, 2026</w:t>
            </w:r>
          </w:p>
        </w:tc>
        <w:tc>
          <w:tcPr>
            <w:tcW w:w="280" w:type="dxa"/>
            <w:vAlign w:val="bottom"/>
            <w:gridSpan w:val="2"/>
          </w:tcPr>
          <w:p>
            <w:pPr>
              <w:spacing w:after="0"/>
              <w:rPr>
                <w:sz w:val="21"/>
                <w:szCs w:val="21"/>
                <w:color w:val="auto"/>
              </w:rPr>
            </w:pPr>
          </w:p>
        </w:tc>
        <w:tc>
          <w:tcPr>
            <w:tcW w:w="46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0000FF"/>
                <w:w w:val="88"/>
              </w:rPr>
              <w:t>2</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and 2025</w:t>
            </w:r>
          </w:p>
        </w:tc>
        <w:tc>
          <w:tcPr>
            <w:tcW w:w="8220" w:type="dxa"/>
            <w:vAlign w:val="bottom"/>
            <w:tcBorders>
              <w:top w:val="single" w:sz="8" w:color="0000FF"/>
            </w:tcBorders>
            <w:gridSpan w:val="13"/>
          </w:tcPr>
          <w:p>
            <w:pPr>
              <w:spacing w:after="0"/>
              <w:rPr>
                <w:sz w:val="17"/>
                <w:szCs w:val="17"/>
                <w:color w:val="auto"/>
              </w:rPr>
            </w:pPr>
          </w:p>
        </w:tc>
        <w:tc>
          <w:tcPr>
            <w:tcW w:w="28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1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months ended March 31, 2026 and 2025</w:t>
            </w:r>
          </w:p>
        </w:tc>
        <w:tc>
          <w:tcPr>
            <w:tcW w:w="46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0000FF"/>
                <w:w w:val="88"/>
              </w:rPr>
              <w:t>3</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2026 and 2025</w:t>
            </w:r>
          </w:p>
        </w:tc>
        <w:tc>
          <w:tcPr>
            <w:tcW w:w="80" w:type="dxa"/>
            <w:vAlign w:val="bottom"/>
          </w:tcPr>
          <w:p>
            <w:pPr>
              <w:spacing w:after="0"/>
              <w:rPr>
                <w:sz w:val="21"/>
                <w:szCs w:val="21"/>
                <w:color w:val="auto"/>
              </w:rPr>
            </w:pPr>
          </w:p>
        </w:tc>
        <w:tc>
          <w:tcPr>
            <w:tcW w:w="46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0000FF"/>
                <w:w w:val="88"/>
              </w:rPr>
              <w:t>4</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5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580" w:type="dxa"/>
            <w:vAlign w:val="bottom"/>
            <w:gridSpan w:val="3"/>
          </w:tcPr>
          <w:p>
            <w:pPr>
              <w:spacing w:after="0"/>
              <w:rPr>
                <w:sz w:val="21"/>
                <w:szCs w:val="21"/>
                <w:color w:val="auto"/>
              </w:rPr>
            </w:pPr>
          </w:p>
        </w:tc>
        <w:tc>
          <w:tcPr>
            <w:tcW w:w="46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0000FF"/>
                <w:w w:val="88"/>
              </w:rPr>
              <w:t>5</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00" w:type="dxa"/>
            <w:vAlign w:val="bottom"/>
            <w:gridSpan w:val="4"/>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17</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1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 About Market Risk</w:t>
            </w:r>
          </w:p>
        </w:tc>
        <w:tc>
          <w:tcPr>
            <w:tcW w:w="4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99"/>
              </w:rPr>
              <w:t>24</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2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880" w:type="dxa"/>
            <w:vAlign w:val="bottom"/>
            <w:gridSpan w:val="8"/>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24</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1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4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99"/>
              </w:rPr>
              <w:t>25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1"/>
                <w:szCs w:val="21"/>
                <w:color w:val="auto"/>
              </w:rPr>
            </w:pPr>
          </w:p>
        </w:tc>
        <w:tc>
          <w:tcPr>
            <w:tcW w:w="7840" w:type="dxa"/>
            <w:vAlign w:val="bottom"/>
            <w:gridSpan w:val="12"/>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25</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4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99"/>
              </w:rPr>
              <w:t>25</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3"/>
          </w:tcPr>
          <w:p>
            <w:pPr>
              <w:spacing w:after="0"/>
              <w:rPr>
                <w:sz w:val="21"/>
                <w:szCs w:val="21"/>
                <w:color w:val="auto"/>
              </w:rPr>
            </w:pPr>
          </w:p>
        </w:tc>
        <w:tc>
          <w:tcPr>
            <w:tcW w:w="4820" w:type="dxa"/>
            <w:vAlign w:val="bottom"/>
            <w:gridSpan w:val="7"/>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25</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99"/>
              </w:rPr>
              <w:t>25</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00" w:type="dxa"/>
            <w:vAlign w:val="bottom"/>
            <w:gridSpan w:val="11"/>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25</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3"/>
          </w:tcPr>
          <w:p>
            <w:pPr>
              <w:spacing w:after="0"/>
              <w:rPr>
                <w:sz w:val="21"/>
                <w:szCs w:val="21"/>
                <w:color w:val="auto"/>
              </w:rPr>
            </w:pPr>
          </w:p>
        </w:tc>
        <w:tc>
          <w:tcPr>
            <w:tcW w:w="7860" w:type="dxa"/>
            <w:vAlign w:val="bottom"/>
            <w:gridSpan w:val="13"/>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26</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0000FF"/>
                <w:w w:val="99"/>
              </w:rPr>
              <w:t>27</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4453255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about Forward-Looking Statements</w:t>
      </w:r>
    </w:p>
    <w:p>
      <w:pPr>
        <w:spacing w:after="0" w:line="200" w:lineRule="exact"/>
        <w:rPr>
          <w:sz w:val="20"/>
          <w:szCs w:val="20"/>
          <w:color w:val="auto"/>
        </w:rPr>
      </w:pPr>
    </w:p>
    <w:p>
      <w:pPr>
        <w:spacing w:after="0" w:line="258" w:lineRule="exact"/>
        <w:rPr>
          <w:sz w:val="20"/>
          <w:szCs w:val="20"/>
          <w:color w:val="auto"/>
        </w:rPr>
      </w:pPr>
    </w:p>
    <w:p>
      <w:pPr>
        <w:jc w:val="both"/>
        <w:ind w:firstLine="405"/>
        <w:spacing w:after="0" w:line="220" w:lineRule="exact"/>
        <w:rPr>
          <w:sz w:val="20"/>
          <w:szCs w:val="20"/>
          <w:color w:val="auto"/>
        </w:rPr>
      </w:pPr>
      <w:r>
        <w:rPr>
          <w:rFonts w:ascii="Times New Roman" w:cs="Times New Roman" w:eastAsia="Times New Roman" w:hAnsi="Times New Roman"/>
          <w:sz w:val="18"/>
          <w:szCs w:val="18"/>
          <w:color w:val="auto"/>
        </w:rPr>
        <w:t>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contains forward-looking statements within the meaning of the federal securities laws, which are statements that involve substantial risks and uncertainties. Forward-looking statements generally relate to future events or our future financial or operating performance. All statements other than statements of historical fact included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including statements regarding our strategy, future operations, financial position, prospects, plans and objectives of management are forward-looking statements. In some cases, you can identify forward-looking statements because they contain words such as “aims,” “anticipated,” “believes,” “budget,” “can,” “certain,” “committed,” “continue,” “could,” “designed,” “estimates,” “expect,” “future,” “growing,” “indicative,” “intended,” “may,” “mission,” “opportunities,” “plan,” “position,” “potential,” “predict,” “probable,” “projections,” “scheduled,” “should,” “to be,” “will,” or “would,” or the negative of these words or other similar terms or expressions. Forward-looking statements include, but are not limited to, statements relating to our business plans, strategies, market or investment opportunities, platform, products and services, including future investments therein and anticipated benefits therefrom; demand; our future financial or operating performance and growth (such as revenue, gross profit and margins, expenses, income (losses) and other operating results); our future cash flows, expenditures, requirements, uses, sufficiency and funding sources; our accounting practices and policies (including the impacts associated with them and accounting pronouncements, estimates, accruals, amortizations, commitments/contingencies, warrant vesting, the period over which expenses are expected to be realized and non-GAAP financial measures); our taxes; our personnel and operations; our disclosure and internal controls, procedures and remediation efforts; our lease terms, including any renewal and future payments; our risk factors; our merger and acquisition activities; and our legal and compliance matters such as legal proceedings and 10b5-1 trading arrangements.</w:t>
      </w:r>
    </w:p>
    <w:p>
      <w:pPr>
        <w:spacing w:after="0" w:line="225" w:lineRule="exact"/>
        <w:rPr>
          <w:sz w:val="20"/>
          <w:szCs w:val="20"/>
          <w:color w:val="auto"/>
        </w:rPr>
      </w:pPr>
    </w:p>
    <w:p>
      <w:pPr>
        <w:jc w:val="both"/>
        <w:ind w:firstLine="405"/>
        <w:spacing w:after="0" w:line="220" w:lineRule="exact"/>
        <w:rPr>
          <w:sz w:val="20"/>
          <w:szCs w:val="20"/>
          <w:color w:val="auto"/>
        </w:rPr>
      </w:pPr>
      <w:r>
        <w:rPr>
          <w:rFonts w:ascii="Times New Roman" w:cs="Times New Roman" w:eastAsia="Times New Roman" w:hAnsi="Times New Roman"/>
          <w:sz w:val="18"/>
          <w:szCs w:val="18"/>
          <w:color w:val="auto"/>
        </w:rPr>
        <w:t>We may not actually achieve the plans, intentions, expectations or events disclosed in our forward-looking statements, and you should not place undue reliance on our forward-looking statements. Forward-looking statements are subject to risks, uncertainties and other factors described under the heading “Risk Factors” included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those included within our Annual Report on Form 10-K filed with the U.S. Securities and Exchange Commission (“SEC”) on February 20, 2026. The following include some, but not all, of the factors that could cause the outcome of the events described in our forward-looking statements to differ from those anticipated:</w:t>
      </w:r>
    </w:p>
    <w:p>
      <w:pPr>
        <w:spacing w:after="0" w:line="22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and manage our growth effectively;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future profitability;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predict future revenue for appropriate budgeting and expense adjustment;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new and evolving market trends or industry standards, develop and sell new products, or penetrate new markets;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concentration, with a limited number of end customers driving our revenue;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product design wins and opportunities for customer sales and investment recoupment;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the value of new products or newer product generations to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AI technology adoption, use, and commercialization;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and relationship management of, a limited number of third-party manufacturing and supply chain services partners;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qualify our products with customers without significant delays;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pricings often decrease over time;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supply disruptions, unforeseen product delays, expenses or undetected defects, bugs, or security vulnerabilities;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political, regulatory, and economic policies of governments, including in connection with trade restrictions and export controls with respect to China and Chinese customers;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skilled personnel and senior management team members;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claims or product liability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other legal proceedings, including related to patents or other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and to realize anticipated benefits or synergies, on a timely basis or at all, in connection with our past, current, or any future acquisitions, divestitures, significant investments, joint ventures or strategic transactions;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operational risks, including exposure to numerous legal and regulatory requirements and unexpected changes and compliance failures;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risks of authorities in jurisdictions into or from which we ship our products or import supplies levying fines, restricting or delaying our product exports or supply imports, or increasing product manufacturing or transfer costs;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rules or practices;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markets and ability to compete effectively, including as a result of industry consolidation;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intellectual property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technologies for product development and future ability to use such technologies;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financial and economic conditions and geopolitical events, including fluctuating interest, inflation, foreign currency and unemployment rates, economic slowdowns or recessions, or financial market volatility, including as a result of, among other factors, the ongoing Russia and Ukraine war, the Middle East conflict, announced or future tariff increases and export controls between the U.S. and China, international tensions or instability, significant changes in governmental policies or similar events.</w:t>
      </w:r>
    </w:p>
    <w:p>
      <w:pPr>
        <w:spacing w:after="0" w:line="175" w:lineRule="exact"/>
        <w:rPr>
          <w:sz w:val="20"/>
          <w:szCs w:val="20"/>
          <w:color w:val="auto"/>
        </w:rPr>
      </w:pPr>
    </w:p>
    <w:p>
      <w:pPr>
        <w:jc w:val="both"/>
        <w:ind w:firstLine="405"/>
        <w:spacing w:after="0" w:line="245" w:lineRule="exact"/>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You should not rely upon forward-looking statements as predictions of future events.</w:t>
      </w:r>
    </w:p>
    <w:p>
      <w:pPr>
        <w:spacing w:after="0" w:line="226" w:lineRule="exact"/>
        <w:rPr>
          <w:sz w:val="20"/>
          <w:szCs w:val="20"/>
          <w:color w:val="auto"/>
        </w:rPr>
      </w:pPr>
    </w:p>
    <w:p>
      <w:pPr>
        <w:jc w:val="both"/>
        <w:ind w:firstLine="405"/>
        <w:spacing w:after="0" w:line="218" w:lineRule="exact"/>
        <w:rPr>
          <w:sz w:val="20"/>
          <w:szCs w:val="20"/>
          <w:color w:val="auto"/>
        </w:rPr>
      </w:pPr>
      <w:r>
        <w:rPr>
          <w:rFonts w:ascii="Times New Roman" w:cs="Times New Roman" w:eastAsia="Times New Roman" w:hAnsi="Times New Roman"/>
          <w:sz w:val="18"/>
          <w:szCs w:val="18"/>
          <w:color w:val="auto"/>
        </w:rPr>
        <w:t>We have based the forward-looking statements contained in this Quarterly Report on Form 10-Q primarily on management’s current beliefs and our current expectations and projections about future events and trends that we believe may affect our business, results of operations, financial condition, and prospects. In addition, statements that “we believe” and similar statements reflect our beliefs and opinions on the relevant subject. These statements are based upon information available to us as of the date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89" w:lineRule="exact"/>
        <w:rPr>
          <w:sz w:val="20"/>
          <w:szCs w:val="20"/>
          <w:color w:val="auto"/>
        </w:rPr>
      </w:pPr>
    </w:p>
    <w:p>
      <w:pPr>
        <w:jc w:val="both"/>
        <w:ind w:firstLine="405"/>
        <w:spacing w:after="0" w:line="245" w:lineRule="exact"/>
        <w:rPr>
          <w:sz w:val="20"/>
          <w:szCs w:val="20"/>
          <w:color w:val="auto"/>
        </w:rPr>
      </w:pPr>
      <w:r>
        <w:rPr>
          <w:rFonts w:ascii="Times New Roman" w:cs="Times New Roman" w:eastAsia="Times New Roman" w:hAnsi="Times New Roman"/>
          <w:sz w:val="18"/>
          <w:szCs w:val="18"/>
          <w:color w:val="auto"/>
        </w:rPr>
        <w:t>The forward-looking statements made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relate only to events as of the date on which the statements are made. We undertake no obligation to update any forward-looking statements made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to reflect events or circumstances after the date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or to reflect new information or the occurrence of unanticipated events, except as required by law.</w:t>
      </w:r>
    </w:p>
    <w:p>
      <w:pPr>
        <w:spacing w:after="0" w:line="19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this document, unless otherwise indicated or unless the context requires otherwise, all references in this document to “Astera Labs”, “the Company”, “we”, “us”, “our”, or similar references are to Astera Labs, Inc.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1473200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ASTERA LABS,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CONDENSED 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 except par values)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5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7"/>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6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167,611</w:t>
            </w:r>
          </w:p>
        </w:tc>
        <w:tc>
          <w:tcPr>
            <w:tcW w:w="0" w:type="dxa"/>
            <w:vAlign w:val="bottom"/>
          </w:tcPr>
          <w:p>
            <w:pPr>
              <w:spacing w:after="0"/>
              <w:rPr>
                <w:sz w:val="1"/>
                <w:szCs w:val="1"/>
                <w:color w:val="auto"/>
              </w:rPr>
            </w:pPr>
          </w:p>
        </w:tc>
      </w:tr>
      <w:tr>
        <w:trPr>
          <w:trHeight w:val="243"/>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1,036,189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1,021,205</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83,202</w:t>
            </w:r>
          </w:p>
        </w:tc>
        <w:tc>
          <w:tcPr>
            <w:tcW w:w="0" w:type="dxa"/>
            <w:vAlign w:val="bottom"/>
          </w:tcPr>
          <w:p>
            <w:pPr>
              <w:spacing w:after="0"/>
              <w:rPr>
                <w:sz w:val="1"/>
                <w:szCs w:val="1"/>
                <w:color w:val="auto"/>
              </w:rPr>
            </w:pPr>
          </w:p>
        </w:tc>
      </w:tr>
      <w:tr>
        <w:trPr>
          <w:trHeight w:val="243"/>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58,979</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31,033</w:t>
            </w:r>
          </w:p>
        </w:tc>
        <w:tc>
          <w:tcPr>
            <w:tcW w:w="0" w:type="dxa"/>
            <w:vAlign w:val="bottom"/>
          </w:tcPr>
          <w:p>
            <w:pPr>
              <w:spacing w:after="0"/>
              <w:rPr>
                <w:sz w:val="1"/>
                <w:szCs w:val="1"/>
                <w:color w:val="auto"/>
              </w:rPr>
            </w:pPr>
          </w:p>
        </w:tc>
      </w:tr>
      <w:tr>
        <w:trPr>
          <w:trHeight w:val="237"/>
        </w:trPr>
        <w:tc>
          <w:tcPr>
            <w:tcW w:w="7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1,412,936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1,362,030</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92,038</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19,015</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58,740</w:t>
            </w:r>
          </w:p>
        </w:tc>
        <w:tc>
          <w:tcPr>
            <w:tcW w:w="0" w:type="dxa"/>
            <w:vAlign w:val="bottom"/>
          </w:tcPr>
          <w:p>
            <w:pPr>
              <w:spacing w:after="0"/>
              <w:rPr>
                <w:sz w:val="1"/>
                <w:szCs w:val="1"/>
                <w:color w:val="auto"/>
              </w:rPr>
            </w:pPr>
          </w:p>
        </w:tc>
      </w:tr>
      <w:tr>
        <w:trPr>
          <w:trHeight w:val="237"/>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1,659,215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1,531,823</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42,362</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90,680</w:t>
            </w:r>
          </w:p>
        </w:tc>
        <w:tc>
          <w:tcPr>
            <w:tcW w:w="0" w:type="dxa"/>
            <w:vAlign w:val="bottom"/>
          </w:tcPr>
          <w:p>
            <w:pPr>
              <w:spacing w:after="0"/>
              <w:rPr>
                <w:sz w:val="1"/>
                <w:szCs w:val="1"/>
                <w:color w:val="auto"/>
              </w:rPr>
            </w:pPr>
          </w:p>
        </w:tc>
      </w:tr>
      <w:tr>
        <w:trPr>
          <w:trHeight w:val="237"/>
        </w:trPr>
        <w:tc>
          <w:tcPr>
            <w:tcW w:w="7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125,044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133,042</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35,147</w:t>
            </w:r>
          </w:p>
        </w:tc>
        <w:tc>
          <w:tcPr>
            <w:tcW w:w="0" w:type="dxa"/>
            <w:vAlign w:val="bottom"/>
          </w:tcPr>
          <w:p>
            <w:pPr>
              <w:spacing w:after="0"/>
              <w:rPr>
                <w:sz w:val="1"/>
                <w:szCs w:val="1"/>
                <w:color w:val="auto"/>
              </w:rPr>
            </w:pPr>
          </w:p>
        </w:tc>
      </w:tr>
      <w:tr>
        <w:trPr>
          <w:trHeight w:val="237"/>
        </w:trPr>
        <w:tc>
          <w:tcPr>
            <w:tcW w:w="7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165,267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168,189</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$0.0001 par value; 1,000,000 shares authorized as of March 31, 2026 and December 31,</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171,277 and 170,186 shares issued and outstanding as of March 31, 2026 and December 31, 2025,</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1,404,063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1,348,969</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0" w:type="dxa"/>
            <w:vAlign w:val="bottom"/>
          </w:tcPr>
          <w:p>
            <w:pPr>
              <w:spacing w:after="0"/>
              <w:rPr>
                <w:sz w:val="1"/>
                <w:szCs w:val="1"/>
                <w:color w:val="auto"/>
              </w:rPr>
            </w:pPr>
          </w:p>
        </w:tc>
      </w:tr>
      <w:tr>
        <w:trPr>
          <w:trHeight w:val="243"/>
        </w:trPr>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10,338</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6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1,493,948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1,363,634</w:t>
            </w:r>
          </w:p>
        </w:tc>
        <w:tc>
          <w:tcPr>
            <w:tcW w:w="0" w:type="dxa"/>
            <w:vAlign w:val="bottom"/>
          </w:tcPr>
          <w:p>
            <w:pPr>
              <w:spacing w:after="0"/>
              <w:rPr>
                <w:sz w:val="1"/>
                <w:szCs w:val="1"/>
                <w:color w:val="auto"/>
              </w:rPr>
            </w:pPr>
          </w:p>
        </w:tc>
      </w:tr>
      <w:tr>
        <w:trPr>
          <w:trHeight w:val="237"/>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1,659,215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1,531,823</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ASTERA LABS,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CONDENSED CONSOLIDATED STATEMENTS OF OPERATIONS AND COMPREHENSIVE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281"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33020</wp:posOffset>
            </wp:positionV>
            <wp:extent cx="14827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9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159,442</w:t>
            </w:r>
          </w:p>
        </w:tc>
        <w:tc>
          <w:tcPr>
            <w:tcW w:w="0" w:type="dxa"/>
            <w:vAlign w:val="bottom"/>
          </w:tcPr>
          <w:p>
            <w:pPr>
              <w:spacing w:after="0"/>
              <w:rPr>
                <w:sz w:val="1"/>
                <w:szCs w:val="1"/>
                <w:color w:val="auto"/>
              </w:rPr>
            </w:pPr>
          </w:p>
        </w:tc>
      </w:tr>
      <w:tr>
        <w:trPr>
          <w:trHeight w:val="24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40,031</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119,411</w:t>
            </w:r>
          </w:p>
        </w:tc>
        <w:tc>
          <w:tcPr>
            <w:tcW w:w="0" w:type="dxa"/>
            <w:vAlign w:val="bottom"/>
          </w:tcPr>
          <w:p>
            <w:pPr>
              <w:spacing w:after="0"/>
              <w:rPr>
                <w:sz w:val="1"/>
                <w:szCs w:val="1"/>
                <w:color w:val="auto"/>
              </w:rPr>
            </w:pP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64,554</w:t>
            </w:r>
          </w:p>
        </w:tc>
        <w:tc>
          <w:tcPr>
            <w:tcW w:w="0" w:type="dxa"/>
            <w:vAlign w:val="bottom"/>
          </w:tcPr>
          <w:p>
            <w:pPr>
              <w:spacing w:after="0"/>
              <w:rPr>
                <w:sz w:val="1"/>
                <w:szCs w:val="1"/>
                <w:color w:val="auto"/>
              </w:rPr>
            </w:pPr>
          </w:p>
        </w:tc>
      </w:tr>
      <w:tr>
        <w:trPr>
          <w:trHeight w:val="243"/>
        </w:trPr>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21,702</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21,870</w:t>
            </w:r>
          </w:p>
        </w:tc>
        <w:tc>
          <w:tcPr>
            <w:tcW w:w="0" w:type="dxa"/>
            <w:vAlign w:val="bottom"/>
          </w:tcPr>
          <w:p>
            <w:pPr>
              <w:spacing w:after="0"/>
              <w:rPr>
                <w:sz w:val="1"/>
                <w:szCs w:val="1"/>
                <w:color w:val="auto"/>
              </w:rPr>
            </w:pPr>
          </w:p>
        </w:tc>
      </w:tr>
      <w:tr>
        <w:trPr>
          <w:trHeight w:val="237"/>
        </w:trPr>
        <w:tc>
          <w:tcPr>
            <w:tcW w:w="8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173,308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108,126</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11,285</w:t>
            </w:r>
          </w:p>
        </w:tc>
        <w:tc>
          <w:tcPr>
            <w:tcW w:w="0" w:type="dxa"/>
            <w:vAlign w:val="bottom"/>
          </w:tcPr>
          <w:p>
            <w:pPr>
              <w:spacing w:after="0"/>
              <w:rPr>
                <w:sz w:val="1"/>
                <w:szCs w:val="1"/>
                <w:color w:val="auto"/>
              </w:rPr>
            </w:pPr>
          </w:p>
        </w:tc>
      </w:tr>
      <w:tr>
        <w:trPr>
          <w:trHeight w:val="237"/>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10,432</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21,717</w:t>
            </w:r>
          </w:p>
        </w:tc>
        <w:tc>
          <w:tcPr>
            <w:tcW w:w="0" w:type="dxa"/>
            <w:vAlign w:val="bottom"/>
          </w:tcPr>
          <w:p>
            <w:pPr>
              <w:spacing w:after="0"/>
              <w:rPr>
                <w:sz w:val="1"/>
                <w:szCs w:val="1"/>
                <w:color w:val="auto"/>
              </w:rPr>
            </w:pPr>
          </w:p>
        </w:tc>
      </w:tr>
      <w:tr>
        <w:trPr>
          <w:trHeight w:val="24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31,819</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9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calculating net income per share attributable to common stockholders: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9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9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170,726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163,194</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181,157</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178,116</w:t>
            </w:r>
          </w:p>
        </w:tc>
        <w:tc>
          <w:tcPr>
            <w:tcW w:w="0" w:type="dxa"/>
            <w:vAlign w:val="bottom"/>
          </w:tcPr>
          <w:p>
            <w:pPr>
              <w:spacing w:after="0"/>
              <w:rPr>
                <w:sz w:val="1"/>
                <w:szCs w:val="1"/>
                <w:color w:val="auto"/>
              </w:rPr>
            </w:pP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(loss) gain on marketable securities, net of taxes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r>
        <w:trPr>
          <w:trHeight w:val="27"/>
        </w:trPr>
        <w:tc>
          <w:tcPr>
            <w:tcW w:w="8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9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other comprehensive (loss) gain</w:t>
            </w:r>
          </w:p>
        </w:tc>
        <w:tc>
          <w:tcPr>
            <w:tcW w:w="2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75,220</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33,421</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231F20"/>
        </w:rPr>
        <w:t>ASTERA LABS, INC.</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231F20"/>
        </w:rPr>
        <w:t>CONDENSED CONSOLIDATED STATEMENTS OF CHANGES IN STOCKHOLDERS’ EQUITY</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4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spacing w:after="0"/>
              <w:rPr>
                <w:sz w:val="15"/>
                <w:szCs w:val="15"/>
                <w:color w:val="auto"/>
              </w:rPr>
            </w:pPr>
          </w:p>
        </w:tc>
        <w:tc>
          <w:tcPr>
            <w:tcW w:w="176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5"/>
                <w:szCs w:val="15"/>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5"/>
                <w:szCs w:val="15"/>
                <w:color w:val="auto"/>
              </w:rPr>
            </w:pPr>
          </w:p>
        </w:tc>
        <w:tc>
          <w:tcPr>
            <w:tcW w:w="10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700" w:type="dxa"/>
            <w:vAlign w:val="bottom"/>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24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restart"/>
          </w:tcPr>
          <w:p>
            <w:pPr>
              <w:jc w:val="center"/>
              <w:ind w:right="28"/>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47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4700" w:type="dxa"/>
            <w:vAlign w:val="bottom"/>
          </w:tcPr>
          <w:p>
            <w:pPr>
              <w:spacing w:after="0"/>
              <w:rPr>
                <w:sz w:val="17"/>
                <w:szCs w:val="17"/>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December 31, 2025</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170,186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1,348,969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4,310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10,338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1,363,634</w:t>
            </w:r>
          </w:p>
        </w:tc>
        <w:tc>
          <w:tcPr>
            <w:tcW w:w="0" w:type="dxa"/>
            <w:vAlign w:val="bottom"/>
          </w:tcPr>
          <w:p>
            <w:pPr>
              <w:spacing w:after="0"/>
              <w:rPr>
                <w:sz w:val="1"/>
                <w:szCs w:val="1"/>
                <w:color w:val="auto"/>
              </w:rPr>
            </w:pPr>
          </w:p>
        </w:tc>
      </w:tr>
      <w:tr>
        <w:trPr>
          <w:trHeight w:val="18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 and vesting of early</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88"/>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exercised stock options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52,883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52,883</w:t>
            </w:r>
          </w:p>
        </w:tc>
        <w:tc>
          <w:tcPr>
            <w:tcW w:w="0" w:type="dxa"/>
            <w:vAlign w:val="bottom"/>
          </w:tcPr>
          <w:p>
            <w:pPr>
              <w:spacing w:after="0"/>
              <w:rPr>
                <w:sz w:val="1"/>
                <w:szCs w:val="1"/>
                <w:color w:val="auto"/>
              </w:rPr>
            </w:pPr>
          </w:p>
        </w:tc>
      </w:tr>
      <w:tr>
        <w:trPr>
          <w:trHeight w:val="37"/>
        </w:trPr>
        <w:tc>
          <w:tcPr>
            <w:tcW w:w="4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Warrants contra revenue</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2,097</w:t>
            </w:r>
          </w:p>
        </w:tc>
        <w:tc>
          <w:tcPr>
            <w:tcW w:w="0" w:type="dxa"/>
            <w:vAlign w:val="bottom"/>
          </w:tcPr>
          <w:p>
            <w:pPr>
              <w:spacing w:after="0"/>
              <w:rPr>
                <w:sz w:val="1"/>
                <w:szCs w:val="1"/>
                <w:color w:val="auto"/>
              </w:rPr>
            </w:pPr>
          </w:p>
        </w:tc>
      </w:tr>
      <w:tr>
        <w:trPr>
          <w:trHeight w:val="19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(5,090)</w:t>
            </w:r>
          </w:p>
        </w:tc>
        <w:tc>
          <w:tcPr>
            <w:tcW w:w="0" w:type="dxa"/>
            <w:vAlign w:val="bottom"/>
          </w:tcPr>
          <w:p>
            <w:pPr>
              <w:spacing w:after="0"/>
              <w:rPr>
                <w:sz w:val="1"/>
                <w:szCs w:val="1"/>
                <w:color w:val="auto"/>
              </w:rPr>
            </w:pPr>
          </w:p>
        </w:tc>
      </w:tr>
      <w:tr>
        <w:trPr>
          <w:trHeight w:val="37"/>
        </w:trPr>
        <w:tc>
          <w:tcPr>
            <w:tcW w:w="4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80,310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80,310</w:t>
            </w:r>
          </w:p>
        </w:tc>
        <w:tc>
          <w:tcPr>
            <w:tcW w:w="0" w:type="dxa"/>
            <w:vAlign w:val="bottom"/>
          </w:tcPr>
          <w:p>
            <w:pPr>
              <w:spacing w:after="0"/>
              <w:rPr>
                <w:sz w:val="1"/>
                <w:szCs w:val="1"/>
                <w:color w:val="auto"/>
              </w:rPr>
            </w:pPr>
          </w:p>
        </w:tc>
      </w:tr>
      <w:tr>
        <w:trPr>
          <w:trHeight w:val="218"/>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March 31, 2026</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171,277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1,404,063</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(780)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90,648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1,493,948</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4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tcPr>
          <w:p>
            <w:pPr>
              <w:spacing w:after="0"/>
              <w:rPr>
                <w:sz w:val="15"/>
                <w:szCs w:val="15"/>
                <w:color w:val="auto"/>
              </w:rPr>
            </w:pPr>
          </w:p>
        </w:tc>
        <w:tc>
          <w:tcPr>
            <w:tcW w:w="174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5"/>
                <w:szCs w:val="15"/>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0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680" w:type="dxa"/>
            <w:vAlign w:val="bottom"/>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12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restart"/>
          </w:tcPr>
          <w:p>
            <w:pPr>
              <w:jc w:val="center"/>
              <w:ind w:right="68"/>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46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4680" w:type="dxa"/>
            <w:vAlign w:val="bottom"/>
          </w:tcPr>
          <w:p>
            <w:pPr>
              <w:spacing w:after="0"/>
              <w:rPr>
                <w:sz w:val="17"/>
                <w:szCs w:val="17"/>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0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
        </w:trPr>
        <w:tc>
          <w:tcPr>
            <w:tcW w:w="46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December 31, 2024</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162,018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1,173,153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(208,796)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964,799</w:t>
            </w:r>
          </w:p>
        </w:tc>
        <w:tc>
          <w:tcPr>
            <w:tcW w:w="0" w:type="dxa"/>
            <w:vAlign w:val="bottom"/>
          </w:tcPr>
          <w:p>
            <w:pPr>
              <w:spacing w:after="0"/>
              <w:rPr>
                <w:sz w:val="1"/>
                <w:szCs w:val="1"/>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 and vesting of early</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0" w:type="dxa"/>
            <w:vAlign w:val="bottom"/>
          </w:tcPr>
          <w:p>
            <w:pPr>
              <w:spacing w:after="0"/>
              <w:rPr>
                <w:sz w:val="1"/>
                <w:szCs w:val="1"/>
                <w:color w:val="auto"/>
              </w:rPr>
            </w:pPr>
          </w:p>
        </w:tc>
      </w:tr>
      <w:tr>
        <w:trPr>
          <w:trHeight w:val="188"/>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exercised stock options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42,446</w:t>
            </w:r>
          </w:p>
        </w:tc>
        <w:tc>
          <w:tcPr>
            <w:tcW w:w="0" w:type="dxa"/>
            <w:vAlign w:val="bottom"/>
          </w:tcPr>
          <w:p>
            <w:pPr>
              <w:spacing w:after="0"/>
              <w:rPr>
                <w:sz w:val="1"/>
                <w:szCs w:val="1"/>
                <w:color w:val="auto"/>
              </w:rPr>
            </w:pPr>
          </w:p>
        </w:tc>
      </w:tr>
      <w:tr>
        <w:trPr>
          <w:trHeight w:val="37"/>
        </w:trPr>
        <w:tc>
          <w:tcPr>
            <w:tcW w:w="4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Warrants contra revenue</w:t>
            </w: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193"/>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gains on marketable securities</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0" w:type="dxa"/>
            <w:vAlign w:val="bottom"/>
          </w:tcPr>
          <w:p>
            <w:pPr>
              <w:spacing w:after="0"/>
              <w:rPr>
                <w:sz w:val="1"/>
                <w:szCs w:val="1"/>
                <w:color w:val="auto"/>
              </w:rPr>
            </w:pPr>
          </w:p>
        </w:tc>
      </w:tr>
      <w:tr>
        <w:trPr>
          <w:trHeight w:val="37"/>
        </w:trPr>
        <w:tc>
          <w:tcPr>
            <w:tcW w:w="4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31,819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31,819</w:t>
            </w:r>
          </w:p>
        </w:tc>
        <w:tc>
          <w:tcPr>
            <w:tcW w:w="0" w:type="dxa"/>
            <w:vAlign w:val="bottom"/>
          </w:tcPr>
          <w:p>
            <w:pPr>
              <w:spacing w:after="0"/>
              <w:rPr>
                <w:sz w:val="1"/>
                <w:szCs w:val="1"/>
                <w:color w:val="auto"/>
              </w:rPr>
            </w:pPr>
          </w:p>
        </w:tc>
      </w:tr>
      <w:tr>
        <w:trPr>
          <w:trHeight w:val="218"/>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March 31, 2025</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164,907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1,216,495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(176,977)</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1,041,562</w:t>
            </w:r>
          </w:p>
        </w:tc>
        <w:tc>
          <w:tcPr>
            <w:tcW w:w="0" w:type="dxa"/>
            <w:vAlign w:val="bottom"/>
          </w:tcPr>
          <w:p>
            <w:pPr>
              <w:spacing w:after="0"/>
              <w:rPr>
                <w:sz w:val="1"/>
                <w:szCs w:val="1"/>
                <w:color w:val="auto"/>
              </w:rPr>
            </w:pPr>
          </w:p>
        </w:tc>
      </w:tr>
      <w:tr>
        <w:trPr>
          <w:trHeight w:val="25"/>
        </w:trPr>
        <w:tc>
          <w:tcPr>
            <w:tcW w:w="46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ASTERA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33020</wp:posOffset>
            </wp:positionV>
            <wp:extent cx="18256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3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80,310</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contra revenue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discounts on marketable securities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(30,968)</w:t>
            </w:r>
          </w:p>
        </w:tc>
        <w:tc>
          <w:tcPr>
            <w:tcW w:w="0" w:type="dxa"/>
            <w:vAlign w:val="bottom"/>
          </w:tcPr>
          <w:p>
            <w:pPr>
              <w:spacing w:after="0"/>
              <w:rPr>
                <w:sz w:val="1"/>
                <w:szCs w:val="1"/>
                <w:color w:val="auto"/>
              </w:rPr>
            </w:pPr>
          </w:p>
        </w:tc>
      </w:tr>
      <w:tr>
        <w:trPr>
          <w:trHeight w:val="243"/>
        </w:trPr>
        <w:tc>
          <w:tcPr>
            <w:tcW w:w="8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0" w:type="dxa"/>
            <w:vAlign w:val="bottom"/>
          </w:tcPr>
          <w:p>
            <w:pPr>
              <w:spacing w:after="0"/>
              <w:rPr>
                <w:sz w:val="1"/>
                <w:szCs w:val="1"/>
                <w:color w:val="auto"/>
              </w:rPr>
            </w:pPr>
          </w:p>
        </w:tc>
      </w:tr>
      <w:tr>
        <w:trPr>
          <w:trHeight w:val="243"/>
        </w:trPr>
        <w:tc>
          <w:tcPr>
            <w:tcW w:w="8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(20,841)</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(12,365)</w:t>
            </w:r>
          </w:p>
        </w:tc>
        <w:tc>
          <w:tcPr>
            <w:tcW w:w="0" w:type="dxa"/>
            <w:vAlign w:val="bottom"/>
          </w:tcPr>
          <w:p>
            <w:pPr>
              <w:spacing w:after="0"/>
              <w:rPr>
                <w:sz w:val="1"/>
                <w:szCs w:val="1"/>
                <w:color w:val="auto"/>
              </w:rPr>
            </w:pPr>
          </w:p>
        </w:tc>
      </w:tr>
      <w:tr>
        <w:trPr>
          <w:trHeight w:val="237"/>
        </w:trPr>
        <w:tc>
          <w:tcPr>
            <w:tcW w:w="8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74,598</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10,504</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(156,628)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(190,821)</w:t>
            </w:r>
          </w:p>
        </w:tc>
        <w:tc>
          <w:tcPr>
            <w:tcW w:w="0" w:type="dxa"/>
            <w:vAlign w:val="bottom"/>
          </w:tcPr>
          <w:p>
            <w:pPr>
              <w:spacing w:after="0"/>
              <w:rPr>
                <w:sz w:val="1"/>
                <w:szCs w:val="1"/>
                <w:color w:val="auto"/>
              </w:rPr>
            </w:pPr>
          </w:p>
        </w:tc>
      </w:tr>
      <w:tr>
        <w:trPr>
          <w:trHeight w:val="24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137,756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191,420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for business combinations, net of cash acquired</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3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37"/>
        </w:trPr>
        <w:tc>
          <w:tcPr>
            <w:tcW w:w="8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w:t>
            </w:r>
          </w:p>
        </w:tc>
        <w:tc>
          <w:tcPr>
            <w:tcW w:w="0" w:type="dxa"/>
            <w:vAlign w:val="bottom"/>
          </w:tcPr>
          <w:p>
            <w:pPr>
              <w:spacing w:after="0"/>
              <w:rPr>
                <w:sz w:val="1"/>
                <w:szCs w:val="1"/>
                <w:color w:val="auto"/>
              </w:rPr>
            </w:pPr>
          </w:p>
        </w:tc>
      </w:tr>
      <w:tr>
        <w:trPr>
          <w:trHeight w:val="27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Cash, cash equivalents, and restricted cash </w:t>
            </w:r>
            <w:r>
              <w:rPr>
                <w:rFonts w:ascii="Times New Roman" w:cs="Times New Roman" w:eastAsia="Times New Roman" w:hAnsi="Times New Roman"/>
                <w:sz w:val="23"/>
                <w:szCs w:val="23"/>
                <w:b w:val="1"/>
                <w:bCs w:val="1"/>
                <w:color w:val="auto"/>
                <w:vertAlign w:val="superscript"/>
              </w:rPr>
              <w:t>(1)</w:t>
            </w: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the period</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167,684</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80,044</w:t>
            </w:r>
          </w:p>
        </w:tc>
        <w:tc>
          <w:tcPr>
            <w:tcW w:w="0" w:type="dxa"/>
            <w:vAlign w:val="bottom"/>
          </w:tcPr>
          <w:p>
            <w:pPr>
              <w:spacing w:after="0"/>
              <w:rPr>
                <w:sz w:val="1"/>
                <w:szCs w:val="1"/>
                <w:color w:val="auto"/>
              </w:rPr>
            </w:pPr>
          </w:p>
        </w:tc>
      </w:tr>
      <w:tr>
        <w:trPr>
          <w:trHeight w:val="26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the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148,357</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86,994</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 Restricted cash was not material and is included in Prepaid expenses and other current assets.</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83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ASTERA LABS,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NOTES TO UNAUDITED CONDENSED CONSOLIDATED FINANCIAL STATEMENTS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Astera Labs, Inc. (the “Company”) offers an Intelligent Connectivity Platform, comprised of semiconductor-based, high-speed, mixed-signal connectivity products that integrate a matrix of microcontrollers and sensors, and COSMOS, the Company’s software suite, which is embedded in its connectivity products and integrated into its customers’ systems.</w:t>
      </w:r>
    </w:p>
    <w:p>
      <w:pPr>
        <w:spacing w:after="0" w:line="68"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The Company’s patented software-defined platform approach delivers critical connectivity performance, enables flexibility and customization, and supports observability and predictive analytics. This approach aims to efficiently address the data, network, and memory bottlenecks, scalability, and other unique infrastructure requirements of its hyperscalers and system original equipment manufacturers (“OEMs”)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notes have been prepared in accordance with accounting principles generally accepted in the United States of America (“GAAP”) and applicable rules and regulations of the SEC regarding interim financial information. Certain information and disclosures normally included in annual consolidated financial statements prepared in accordance with GAAP have been condensed or omitted. The unaudited condensed consolidated financial statements and related notes should be read in conjunction with the audited consolidated financial statements and related notes as of and for the year ended December 31, 2025, included in its Annual Report on Form 10-K for the year ended December 31, 2025 filed with the SEC on February 20, 2026.</w:t>
      </w:r>
    </w:p>
    <w:p>
      <w:pPr>
        <w:spacing w:after="0" w:line="187"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In the opinion of management, all adjustments, including normal recurring adjustments, that are considered necessary for a fair presentation of results of operations and financial position, have been included. Operating results for the periods presented herein are not necessarily indicative of the results of operations to be anticipated for the full fiscal year or any future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Astera Labs, Inc. and its wholly owned subsidiaries. All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the Company’s significant accounting policies during the three months ended March 31, 2026 compared with the significant accounting policies described in its Annual Report on Form 10-K for the year ended December 31, 2025 filed with the SEC on February 20,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The Company’s significant estimates include, but are not limited to, revenue recognition, the valuation of acquired intangible assets, the valuation and realizability of deferred tax assets, reserves for uncertain tax positions, useful life of production equipment, the valuation of warrants, and the valuation and assumptions underlying stock-based compensation. By their nature, estimates are subject to an inherent degree of uncertainty and actual results could differ from those estimates.</w:t>
      </w:r>
    </w:p>
    <w:p>
      <w:pPr>
        <w:spacing w:after="0" w:line="214"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The Company assessed certain accounting matters and estimates that generally require consideration of forecasted information available to the Company. Management is not aware of any specific event or circumstance that would require an update to estimates or judgments or a revision to the carrying value of assets or liabilities. These estimates and judgments may change as new events occur and additional information is obtained, which may result in changes being recognized in the Company’s consolidated financial statements in future periods, and actual results could differ from these estimates.</w:t>
      </w:r>
    </w:p>
    <w:p>
      <w:pPr>
        <w:sectPr>
          <w:pgSz w:w="11900" w:h="16838" w:orient="portrait"/>
          <w:cols w:equalWidth="0" w:num="1">
            <w:col w:w="11240"/>
          </w:cols>
          <w:pgMar w:left="320" w:top="2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21"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Certain prior period balances were reclassified to conform to the current period’s presentation. None of these reclassifications had an impact on reported net income, balance sheets, or cash flows for any of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31" w:lineRule="exact"/>
        <w:rPr>
          <w:sz w:val="20"/>
          <w:szCs w:val="20"/>
          <w:color w:val="auto"/>
        </w:rPr>
      </w:pPr>
    </w:p>
    <w:p>
      <w:pPr>
        <w:jc w:val="both"/>
        <w:ind w:firstLine="518"/>
        <w:spacing w:after="0" w:line="251"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No. 2024-03, </w:t>
      </w:r>
      <w:r>
        <w:rPr>
          <w:rFonts w:ascii="Times New Roman" w:cs="Times New Roman" w:eastAsia="Times New Roman" w:hAnsi="Times New Roman"/>
          <w:sz w:val="18"/>
          <w:szCs w:val="18"/>
          <w:i w:val="1"/>
          <w:iCs w:val="1"/>
          <w:color w:val="auto"/>
        </w:rPr>
        <w:t>Income Statement-Reporting Comprehensive Income-Expense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 </w:t>
      </w:r>
      <w:r>
        <w:rPr>
          <w:rFonts w:ascii="Times New Roman" w:cs="Times New Roman" w:eastAsia="Times New Roman" w:hAnsi="Times New Roman"/>
          <w:sz w:val="18"/>
          <w:szCs w:val="18"/>
          <w:color w:val="auto"/>
        </w:rPr>
        <w:t>(“ASU 2024-03”), and in January 2025, the FASB issued Accounting Standard Update No. 2025-01,</w:t>
      </w:r>
      <w:r>
        <w:rPr>
          <w:rFonts w:ascii="Times New Roman" w:cs="Times New Roman" w:eastAsia="Times New Roman" w:hAnsi="Times New Roman"/>
          <w:sz w:val="18"/>
          <w:szCs w:val="18"/>
          <w:i w:val="1"/>
          <w:iCs w:val="1"/>
          <w:color w:val="auto"/>
        </w:rPr>
        <w:t xml:space="preserve"> Income Statement-Reporting Comprehensive Income-Expense Disaggregation Disclosure (Subtopic 2020-40): Clarifying the Effective Date </w:t>
      </w:r>
      <w:r>
        <w:rPr>
          <w:rFonts w:ascii="Times New Roman" w:cs="Times New Roman" w:eastAsia="Times New Roman" w:hAnsi="Times New Roman"/>
          <w:sz w:val="18"/>
          <w:szCs w:val="18"/>
          <w:color w:val="auto"/>
        </w:rPr>
        <w:t>(“ASU 2025-01”). ASU 2024-03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additional disclosures of the nature of expenses included in the income statement and disclosures about specific expense categories included in the expense captions presented in the statements of operations. ASU 2024-03, as clarified by ASU 2025-01, is effective for annual reporting periods beginning after December 15, 2026, and interim reporting periods within annual reporting periods beginning after December 15, 2027. Both early adoption and retrospective application are permitted. The Company is currently evaluating the impact that the adoption of these new standards will have on its consolidated financial statements and related disclosures.</w:t>
      </w:r>
    </w:p>
    <w:p>
      <w:pPr>
        <w:spacing w:after="0" w:line="192" w:lineRule="exact"/>
        <w:rPr>
          <w:sz w:val="20"/>
          <w:szCs w:val="20"/>
          <w:color w:val="auto"/>
        </w:rPr>
      </w:pPr>
    </w:p>
    <w:p>
      <w:pPr>
        <w:jc w:val="both"/>
        <w:ind w:firstLine="518"/>
        <w:spacing w:after="0" w:line="257" w:lineRule="auto"/>
        <w:rPr>
          <w:sz w:val="20"/>
          <w:szCs w:val="20"/>
          <w:color w:val="auto"/>
        </w:rPr>
      </w:pPr>
      <w:r>
        <w:rPr>
          <w:rFonts w:ascii="Times New Roman" w:cs="Times New Roman" w:eastAsia="Times New Roman" w:hAnsi="Times New Roman"/>
          <w:sz w:val="18"/>
          <w:szCs w:val="18"/>
          <w:color w:val="auto"/>
        </w:rPr>
        <w:t xml:space="preserve">In May 2025, the FASB issued Accounting Standards Update No. 2025-04, </w:t>
      </w:r>
      <w:r>
        <w:rPr>
          <w:rFonts w:ascii="Times New Roman" w:cs="Times New Roman" w:eastAsia="Times New Roman" w:hAnsi="Times New Roman"/>
          <w:sz w:val="18"/>
          <w:szCs w:val="18"/>
          <w:i w:val="1"/>
          <w:iCs w:val="1"/>
          <w:color w:val="auto"/>
        </w:rPr>
        <w:t>Compensation-Stock Compensation (Topic 718) and 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(Topic 606): Clarifications to Share-Based Consideration Payable to a Customer </w:t>
      </w:r>
      <w:r>
        <w:rPr>
          <w:rFonts w:ascii="Times New Roman" w:cs="Times New Roman" w:eastAsia="Times New Roman" w:hAnsi="Times New Roman"/>
          <w:sz w:val="18"/>
          <w:szCs w:val="18"/>
          <w:color w:val="auto"/>
        </w:rPr>
        <w:t>(“ASU 2025-04”). ASU 2025-04 reduces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diversity in practice and improves the decision usefulness and operability of the guidance for share-based consideration payable to a customer in conjunction with selling goods or services. The ASU is effective for annual reporting periods beginning after December 15, 2026 with updates to be applied on a retrospective or modified retrospective basis. Early adoption is permitted. The Company is evaluating the impact that this new standard will have on the Company’s consolidated financial statements and related disclosures.</w:t>
      </w:r>
    </w:p>
    <w:p>
      <w:pPr>
        <w:spacing w:after="0" w:line="209"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Accounting Standards Update No. 2025-06, </w:t>
      </w:r>
      <w:r>
        <w:rPr>
          <w:rFonts w:ascii="Times New Roman" w:cs="Times New Roman" w:eastAsia="Times New Roman" w:hAnsi="Times New Roman"/>
          <w:sz w:val="18"/>
          <w:szCs w:val="18"/>
          <w:i w:val="1"/>
          <w:iCs w:val="1"/>
          <w:color w:val="auto"/>
        </w:rPr>
        <w:t>Intangibles - Goodwill and Other -Internal-Use Software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350-40): Targeted Improvements to the Accounting for Internal-Use Software </w:t>
      </w:r>
      <w:r>
        <w:rPr>
          <w:rFonts w:ascii="Times New Roman" w:cs="Times New Roman" w:eastAsia="Times New Roman" w:hAnsi="Times New Roman"/>
          <w:sz w:val="18"/>
          <w:szCs w:val="18"/>
          <w:color w:val="auto"/>
        </w:rPr>
        <w:t>(“ASU 2025-06”). ASU 2025-06 removes all references to project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stages throughout Subtopic 350-40 and clarifies the threshold that the entities must meet to begin capitalizing costs. The ASU is effective for annual reporting periods beginning after December 15, 2027, and interim reporting periods within those annual reporting periods. Early adoption is permitted. The Company is evaluating the impact that this new standard will have on the Company’s consolidated financial statements and related disclosures.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and Geographical Information</w:t>
      </w:r>
    </w:p>
    <w:p>
      <w:pPr>
        <w:spacing w:after="0" w:line="229"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(“CEO”), who reviews financial information presented on a consolidated basis for purposes of making operating decisions, assessing financial performance, and allocating resources. The CODM uses net income to evaluate the return on assets and to determine investment opportunities related to product development, platform enhancements, and new technologies. The CODM also uses net income to monitor budget versus actual results. The Company manages its operations and allocates resources as a single operating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includes the significant expense categories and amounts that are regularly provided to the CODM (in thousands):</w:t>
      </w:r>
    </w:p>
    <w:p>
      <w:pPr>
        <w:spacing w:after="0" w:line="165" w:lineRule="exact"/>
        <w:rPr>
          <w:sz w:val="20"/>
          <w:szCs w:val="20"/>
          <w:color w:val="auto"/>
        </w:rPr>
      </w:pPr>
    </w:p>
    <w:p>
      <w:pPr>
        <w:jc w:val="center"/>
        <w:ind w:left="8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9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39370</wp:posOffset>
            </wp:positionV>
            <wp:extent cx="1465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9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43"/>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159,442</w:t>
            </w:r>
          </w:p>
        </w:tc>
      </w:tr>
      <w:tr>
        <w:trPr>
          <w:trHeight w:val="243"/>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8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40,031</w:t>
            </w:r>
          </w:p>
        </w:tc>
      </w:tr>
      <w:tr>
        <w:trPr>
          <w:trHeight w:val="270"/>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42,484</w:t>
            </w:r>
          </w:p>
        </w:tc>
      </w:tr>
      <w:tr>
        <w:trPr>
          <w:trHeight w:val="27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Personnel-related expenses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42,439</w:t>
            </w:r>
          </w:p>
        </w:tc>
      </w:tr>
      <w:tr>
        <w:trPr>
          <w:trHeight w:val="270"/>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w:t>
            </w:r>
          </w:p>
        </w:tc>
      </w:tr>
      <w:tr>
        <w:trPr>
          <w:trHeight w:val="288"/>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31,819</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firstLine="8"/>
        <w:spacing w:after="0" w:line="282" w:lineRule="auto"/>
        <w:tabs>
          <w:tab w:leader="none" w:pos="25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and personnel-related expenses presented in the above table are related to operating expenses and exclude amounts included in the cost of revenue.</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2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segment items included are primarily related to interest income, income tax benefit, engineering design related costs, </w:t>
      </w:r>
      <w:r>
        <w:rPr>
          <w:rFonts w:ascii="Times New Roman" w:cs="Times New Roman" w:eastAsia="Times New Roman" w:hAnsi="Times New Roman"/>
          <w:sz w:val="18"/>
          <w:szCs w:val="18"/>
          <w:color w:val="231F20"/>
        </w:rPr>
        <w:t>and</w:t>
      </w:r>
      <w:r>
        <w:rPr>
          <w:rFonts w:ascii="Times New Roman" w:cs="Times New Roman" w:eastAsia="Times New Roman" w:hAnsi="Times New Roman"/>
          <w:sz w:val="18"/>
          <w:szCs w:val="18"/>
          <w:color w:val="auto"/>
        </w:rPr>
        <w:t xml:space="preserve"> professional and consulting services fees.</w:t>
      </w:r>
    </w:p>
    <w:p>
      <w:pPr>
        <w:spacing w:after="0" w:line="189"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Revenue by location is determined by the billing address of the Company’s customers, which includes the Company’s end customers’ manufacturing partners and the Company’s distributors.</w:t>
      </w:r>
    </w:p>
    <w:p>
      <w:pPr>
        <w:spacing w:after="0" w:line="2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revenue by geographic area (in thousands):</w:t>
      </w:r>
    </w:p>
    <w:p>
      <w:pPr>
        <w:spacing w:after="0" w:line="57"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33020</wp:posOffset>
            </wp:positionV>
            <wp:extent cx="1482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9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3"/>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76,818</w:t>
            </w:r>
          </w:p>
        </w:tc>
      </w:tr>
      <w:tr>
        <w:trPr>
          <w:trHeight w:val="24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31,421</w:t>
            </w:r>
          </w:p>
        </w:tc>
      </w:tr>
      <w:tr>
        <w:trPr>
          <w:trHeight w:val="27"/>
        </w:trPr>
        <w:tc>
          <w:tcPr>
            <w:tcW w:w="8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44,638</w:t>
            </w:r>
          </w:p>
        </w:tc>
      </w:tr>
      <w:tr>
        <w:trPr>
          <w:trHeight w:val="24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r>
      <w:tr>
        <w:trPr>
          <w:trHeight w:val="27"/>
        </w:trPr>
        <w:tc>
          <w:tcPr>
            <w:tcW w:w="8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r>
      <w:tr>
        <w:trPr>
          <w:trHeight w:val="263"/>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308,361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159,442</w:t>
            </w:r>
          </w:p>
        </w:tc>
      </w:tr>
      <w:tr>
        <w:trPr>
          <w:trHeight w:val="21"/>
        </w:trPr>
        <w:tc>
          <w:tcPr>
            <w:tcW w:w="8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had the following customers that individually comprised 10% or more of its revenue:</w:t>
      </w:r>
    </w:p>
    <w:p>
      <w:pPr>
        <w:spacing w:after="0" w:line="273"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33020</wp:posOffset>
            </wp:positionV>
            <wp:extent cx="1654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40" w:type="dxa"/>
            <w:vAlign w:val="bottom"/>
            <w:gridSpan w:val="2"/>
          </w:tcPr>
          <w:p>
            <w:pPr>
              <w:ind w:left="91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64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3"/>
        </w:trPr>
        <w:tc>
          <w:tcPr>
            <w:tcW w:w="9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43"/>
        </w:trPr>
        <w:tc>
          <w:tcPr>
            <w:tcW w:w="9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7"/>
        </w:trPr>
        <w:tc>
          <w:tcPr>
            <w:tcW w:w="8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7"/>
        </w:trPr>
        <w:tc>
          <w:tcPr>
            <w:tcW w:w="8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E</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F</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10% of total revenue</w:t>
      </w:r>
    </w:p>
    <w:p>
      <w:pPr>
        <w:spacing w:after="0" w:line="225"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Certain of the customers listed above are manufacturing partners that purchase the Company's products on behalf of the Company’s end customers. As end customers may shift production volumes among their manufacturing partners from period to period, the revenue concentration percentages attributable to individual direct customers may fluctuate in a manner that is not necessarily representative of changes in underlying end-customer demand.</w:t>
      </w:r>
    </w:p>
    <w:p>
      <w:pPr>
        <w:sectPr>
          <w:pgSz w:w="11900" w:h="16838" w:orient="portrait"/>
          <w:cols w:equalWidth="0" w:num="1">
            <w:col w:w="11240"/>
          </w:cols>
          <w:pgMar w:left="320" w:top="2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had the following customers that individually comprised 10% or more of its accounts receivable, net: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2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80" w:type="dxa"/>
            <w:vAlign w:val="bottom"/>
          </w:tcPr>
          <w:p>
            <w:pPr>
              <w:spacing w:after="0"/>
              <w:rPr>
                <w:sz w:val="16"/>
                <w:szCs w:val="16"/>
                <w:color w:val="auto"/>
              </w:rPr>
            </w:pPr>
          </w:p>
        </w:tc>
      </w:tr>
      <w:tr>
        <w:trPr>
          <w:trHeight w:val="37"/>
        </w:trPr>
        <w:tc>
          <w:tcPr>
            <w:tcW w:w="756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186"/>
        </w:trPr>
        <w:tc>
          <w:tcPr>
            <w:tcW w:w="7560" w:type="dxa"/>
            <w:vAlign w:val="bottom"/>
          </w:tcPr>
          <w:p>
            <w:pPr>
              <w:spacing w:after="0"/>
              <w:rPr>
                <w:sz w:val="16"/>
                <w:szCs w:val="16"/>
                <w:color w:val="auto"/>
              </w:rPr>
            </w:pPr>
          </w:p>
        </w:tc>
        <w:tc>
          <w:tcPr>
            <w:tcW w:w="13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56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43"/>
        </w:trPr>
        <w:tc>
          <w:tcPr>
            <w:tcW w:w="8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7"/>
        </w:trPr>
        <w:tc>
          <w:tcPr>
            <w:tcW w:w="7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3"/>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E</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351"/>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than 10% of total accounts receivable, net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did not recognize any material allowance for credit losses as of March 31, 2026 and December 31, 2025.</w:t>
      </w:r>
    </w:p>
    <w:p>
      <w:pPr>
        <w:spacing w:after="0" w:line="225"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Property and equipment, net by geographic location is based on the location of the asset. As of March 31, 2026, 23% and 69% of the Company’s property and equipment, net was located in the United States and Taiwan, respectively. As of December 31, 2025, 20% and 73% of the Company’s property and equipment, net was located in the United States and Taiwan,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29"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and losses, and fair value of available-for-sale securities by major security type are as follows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010101"/>
                <w:w w:val="91"/>
              </w:rPr>
              <w:t>As of March 31, 2026</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010101"/>
                <w:w w:val="94"/>
              </w:rPr>
              <w:t>Amortized</w:t>
            </w:r>
          </w:p>
        </w:tc>
        <w:tc>
          <w:tcPr>
            <w:tcW w:w="28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010101"/>
                <w:w w:val="96"/>
              </w:rPr>
              <w:t>Gross</w:t>
            </w:r>
          </w:p>
        </w:tc>
        <w:tc>
          <w:tcPr>
            <w:tcW w:w="26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010101"/>
                <w:w w:val="96"/>
              </w:rPr>
              <w:t>Gross</w:t>
            </w:r>
          </w:p>
        </w:tc>
        <w:tc>
          <w:tcPr>
            <w:tcW w:w="340" w:type="dxa"/>
            <w:vAlign w:val="bottom"/>
          </w:tcPr>
          <w:p>
            <w:pPr>
              <w:spacing w:after="0"/>
              <w:rPr>
                <w:sz w:val="14"/>
                <w:szCs w:val="14"/>
                <w:color w:val="auto"/>
              </w:rPr>
            </w:pPr>
          </w:p>
        </w:tc>
        <w:tc>
          <w:tcPr>
            <w:tcW w:w="1120" w:type="dxa"/>
            <w:vAlign w:val="bottom"/>
            <w:vMerge w:val="restart"/>
          </w:tcPr>
          <w:p>
            <w:pPr>
              <w:jc w:val="center"/>
              <w:ind w:right="234"/>
              <w:spacing w:after="0"/>
              <w:rPr>
                <w:sz w:val="20"/>
                <w:szCs w:val="20"/>
                <w:color w:val="auto"/>
              </w:rPr>
            </w:pPr>
            <w:r>
              <w:rPr>
                <w:rFonts w:ascii="Times New Roman" w:cs="Times New Roman" w:eastAsia="Times New Roman" w:hAnsi="Times New Roman"/>
                <w:sz w:val="14"/>
                <w:szCs w:val="14"/>
                <w:b w:val="1"/>
                <w:bCs w:val="1"/>
                <w:color w:val="010101"/>
                <w:w w:val="93"/>
              </w:rPr>
              <w:t>Fair</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010101"/>
                <w:w w:val="94"/>
              </w:rPr>
              <w:t>Unrealized</w:t>
            </w:r>
          </w:p>
        </w:tc>
        <w:tc>
          <w:tcPr>
            <w:tcW w:w="26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010101"/>
                <w:w w:val="94"/>
              </w:rPr>
              <w:t>Unrealized</w:t>
            </w:r>
          </w:p>
        </w:tc>
        <w:tc>
          <w:tcPr>
            <w:tcW w:w="3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010101"/>
                <w:w w:val="95"/>
              </w:rPr>
              <w:t>Cost</w:t>
            </w:r>
          </w:p>
        </w:tc>
        <w:tc>
          <w:tcPr>
            <w:tcW w:w="28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010101"/>
                <w:w w:val="96"/>
              </w:rPr>
              <w:t>Gains</w:t>
            </w:r>
          </w:p>
        </w:tc>
        <w:tc>
          <w:tcPr>
            <w:tcW w:w="26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010101"/>
                <w:w w:val="97"/>
              </w:rPr>
              <w:t>Losses</w:t>
            </w:r>
          </w:p>
        </w:tc>
        <w:tc>
          <w:tcPr>
            <w:tcW w:w="340" w:type="dxa"/>
            <w:vAlign w:val="bottom"/>
          </w:tcPr>
          <w:p>
            <w:pPr>
              <w:spacing w:after="0"/>
              <w:rPr>
                <w:sz w:val="17"/>
                <w:szCs w:val="17"/>
                <w:color w:val="auto"/>
              </w:rPr>
            </w:pPr>
          </w:p>
        </w:tc>
        <w:tc>
          <w:tcPr>
            <w:tcW w:w="112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010101"/>
                <w:w w:val="91"/>
              </w:rPr>
              <w:t>Value</w:t>
            </w:r>
          </w:p>
        </w:tc>
        <w:tc>
          <w:tcPr>
            <w:tcW w:w="0" w:type="dxa"/>
            <w:vAlign w:val="bottom"/>
          </w:tcPr>
          <w:p>
            <w:pPr>
              <w:spacing w:after="0"/>
              <w:rPr>
                <w:sz w:val="1"/>
                <w:szCs w:val="1"/>
                <w:color w:val="auto"/>
              </w:rPr>
            </w:pPr>
          </w:p>
        </w:tc>
      </w:tr>
      <w:tr>
        <w:trPr>
          <w:trHeight w:val="23"/>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010101"/>
              </w:rPr>
              <w:t>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010101"/>
              </w:rPr>
              <w:t>Money market funds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010101"/>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130,361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01010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01010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01010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130,361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1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010101"/>
              </w:rPr>
              <w:t>Total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010101"/>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130,361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010101"/>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010101"/>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01010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130,361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010101"/>
              </w:rPr>
              <w:t>Marketable securities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010101"/>
              </w:rPr>
              <w:t>U.S. treasury and agency securities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010101"/>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202,800</w:t>
            </w:r>
          </w:p>
        </w:tc>
        <w:tc>
          <w:tcPr>
            <w:tcW w:w="0" w:type="dxa"/>
            <w:vAlign w:val="bottom"/>
          </w:tcPr>
          <w:p>
            <w:pPr>
              <w:spacing w:after="0"/>
              <w:rPr>
                <w:sz w:val="1"/>
                <w:szCs w:val="1"/>
                <w:color w:val="auto"/>
              </w:rPr>
            </w:pPr>
          </w:p>
        </w:tc>
      </w:tr>
      <w:tr>
        <w:trPr>
          <w:trHeight w:val="243"/>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010101"/>
              </w:rPr>
              <w:t>Commercial paper</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010101"/>
              </w:rPr>
              <w:t>Corporate debt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823,776</w:t>
            </w:r>
          </w:p>
        </w:tc>
        <w:tc>
          <w:tcPr>
            <w:tcW w:w="0" w:type="dxa"/>
            <w:vAlign w:val="bottom"/>
          </w:tcPr>
          <w:p>
            <w:pPr>
              <w:spacing w:after="0"/>
              <w:rPr>
                <w:sz w:val="1"/>
                <w:szCs w:val="1"/>
                <w:color w:val="auto"/>
              </w:rPr>
            </w:pPr>
          </w:p>
        </w:tc>
      </w:tr>
      <w:tr>
        <w:trPr>
          <w:trHeight w:val="237"/>
        </w:trPr>
        <w:tc>
          <w:tcPr>
            <w:tcW w:w="5160" w:type="dxa"/>
            <w:vAlign w:val="bottom"/>
          </w:tcPr>
          <w:p>
            <w:pPr>
              <w:ind w:left="760"/>
              <w:spacing w:after="0"/>
              <w:rPr>
                <w:sz w:val="20"/>
                <w:szCs w:val="20"/>
                <w:color w:val="auto"/>
              </w:rPr>
            </w:pPr>
            <w:r>
              <w:rPr>
                <w:rFonts w:ascii="Times New Roman" w:cs="Times New Roman" w:eastAsia="Times New Roman" w:hAnsi="Times New Roman"/>
                <w:sz w:val="18"/>
                <w:szCs w:val="18"/>
                <w:color w:val="010101"/>
              </w:rPr>
              <w:t>Total marketable securities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1,036,969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1,036,189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010101"/>
                <w:w w:val="92"/>
              </w:rPr>
              <w:t>As of December 31, 2025</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1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010101"/>
                <w:w w:val="94"/>
              </w:rPr>
              <w:t>Amortized</w:t>
            </w:r>
          </w:p>
        </w:tc>
        <w:tc>
          <w:tcPr>
            <w:tcW w:w="28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010101"/>
                <w:w w:val="96"/>
              </w:rPr>
              <w:t>Gross</w:t>
            </w:r>
          </w:p>
        </w:tc>
        <w:tc>
          <w:tcPr>
            <w:tcW w:w="26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010101"/>
                <w:w w:val="96"/>
              </w:rPr>
              <w:t>Gross</w:t>
            </w:r>
          </w:p>
        </w:tc>
        <w:tc>
          <w:tcPr>
            <w:tcW w:w="340" w:type="dxa"/>
            <w:vAlign w:val="bottom"/>
          </w:tcPr>
          <w:p>
            <w:pPr>
              <w:spacing w:after="0"/>
              <w:rPr>
                <w:sz w:val="14"/>
                <w:szCs w:val="14"/>
                <w:color w:val="auto"/>
              </w:rPr>
            </w:pPr>
          </w:p>
        </w:tc>
        <w:tc>
          <w:tcPr>
            <w:tcW w:w="1120" w:type="dxa"/>
            <w:vAlign w:val="bottom"/>
            <w:vMerge w:val="restart"/>
          </w:tcPr>
          <w:p>
            <w:pPr>
              <w:jc w:val="center"/>
              <w:ind w:right="234"/>
              <w:spacing w:after="0"/>
              <w:rPr>
                <w:sz w:val="20"/>
                <w:szCs w:val="20"/>
                <w:color w:val="auto"/>
              </w:rPr>
            </w:pPr>
            <w:r>
              <w:rPr>
                <w:rFonts w:ascii="Times New Roman" w:cs="Times New Roman" w:eastAsia="Times New Roman" w:hAnsi="Times New Roman"/>
                <w:sz w:val="14"/>
                <w:szCs w:val="14"/>
                <w:b w:val="1"/>
                <w:bCs w:val="1"/>
                <w:color w:val="010101"/>
                <w:w w:val="93"/>
              </w:rPr>
              <w:t>Fair</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010101"/>
                <w:w w:val="94"/>
              </w:rPr>
              <w:t>Unrealized</w:t>
            </w:r>
          </w:p>
        </w:tc>
        <w:tc>
          <w:tcPr>
            <w:tcW w:w="26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010101"/>
                <w:w w:val="94"/>
              </w:rPr>
              <w:t>Unrealized</w:t>
            </w:r>
          </w:p>
        </w:tc>
        <w:tc>
          <w:tcPr>
            <w:tcW w:w="3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010101"/>
                <w:w w:val="95"/>
              </w:rPr>
              <w:t>Cost</w:t>
            </w:r>
          </w:p>
        </w:tc>
        <w:tc>
          <w:tcPr>
            <w:tcW w:w="28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010101"/>
                <w:w w:val="96"/>
              </w:rPr>
              <w:t>Gains</w:t>
            </w:r>
          </w:p>
        </w:tc>
        <w:tc>
          <w:tcPr>
            <w:tcW w:w="26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010101"/>
                <w:w w:val="97"/>
              </w:rPr>
              <w:t>Losses</w:t>
            </w:r>
          </w:p>
        </w:tc>
        <w:tc>
          <w:tcPr>
            <w:tcW w:w="340" w:type="dxa"/>
            <w:vAlign w:val="bottom"/>
          </w:tcPr>
          <w:p>
            <w:pPr>
              <w:spacing w:after="0"/>
              <w:rPr>
                <w:sz w:val="17"/>
                <w:szCs w:val="17"/>
                <w:color w:val="auto"/>
              </w:rPr>
            </w:pPr>
          </w:p>
        </w:tc>
        <w:tc>
          <w:tcPr>
            <w:tcW w:w="112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010101"/>
                <w:w w:val="91"/>
              </w:rPr>
              <w:t>Value</w:t>
            </w:r>
          </w:p>
        </w:tc>
        <w:tc>
          <w:tcPr>
            <w:tcW w:w="0" w:type="dxa"/>
            <w:vAlign w:val="bottom"/>
          </w:tcPr>
          <w:p>
            <w:pPr>
              <w:spacing w:after="0"/>
              <w:rPr>
                <w:sz w:val="1"/>
                <w:szCs w:val="1"/>
                <w:color w:val="auto"/>
              </w:rPr>
            </w:pPr>
          </w:p>
        </w:tc>
      </w:tr>
      <w:tr>
        <w:trPr>
          <w:trHeight w:val="23"/>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010101"/>
              </w:rPr>
              <w:t>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010101"/>
              </w:rPr>
              <w:t>Money market funds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010101"/>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142,772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01010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01010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01010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142,772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010101"/>
              </w:rPr>
              <w:t>Commercial paper</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5,496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5,495</w:t>
            </w:r>
          </w:p>
        </w:tc>
        <w:tc>
          <w:tcPr>
            <w:tcW w:w="0" w:type="dxa"/>
            <w:vAlign w:val="bottom"/>
          </w:tcPr>
          <w:p>
            <w:pPr>
              <w:spacing w:after="0"/>
              <w:rPr>
                <w:sz w:val="1"/>
                <w:szCs w:val="1"/>
                <w:color w:val="auto"/>
              </w:rPr>
            </w:pPr>
          </w:p>
        </w:tc>
      </w:tr>
      <w:tr>
        <w:trPr>
          <w:trHeight w:val="237"/>
        </w:trPr>
        <w:tc>
          <w:tcPr>
            <w:tcW w:w="5160" w:type="dxa"/>
            <w:vAlign w:val="bottom"/>
          </w:tcPr>
          <w:p>
            <w:pPr>
              <w:ind w:left="760"/>
              <w:spacing w:after="0"/>
              <w:rPr>
                <w:sz w:val="20"/>
                <w:szCs w:val="20"/>
                <w:color w:val="auto"/>
              </w:rPr>
            </w:pPr>
            <w:r>
              <w:rPr>
                <w:rFonts w:ascii="Times New Roman" w:cs="Times New Roman" w:eastAsia="Times New Roman" w:hAnsi="Times New Roman"/>
                <w:sz w:val="18"/>
                <w:szCs w:val="18"/>
                <w:color w:val="010101"/>
              </w:rPr>
              <w:t>Total cash equivalents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010101"/>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10101"/>
              </w:rPr>
              <w:t>148,268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010101"/>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010101"/>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10101"/>
              </w:rPr>
              <w:t>(1)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010101"/>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10101"/>
              </w:rPr>
              <w:t>148,267</w:t>
            </w:r>
          </w:p>
        </w:tc>
        <w:tc>
          <w:tcPr>
            <w:tcW w:w="0" w:type="dxa"/>
            <w:vAlign w:val="bottom"/>
          </w:tcPr>
          <w:p>
            <w:pPr>
              <w:spacing w:after="0"/>
              <w:rPr>
                <w:sz w:val="1"/>
                <w:szCs w:val="1"/>
                <w:color w:val="auto"/>
              </w:rPr>
            </w:pPr>
          </w:p>
        </w:tc>
      </w:tr>
      <w:tr>
        <w:trPr>
          <w:trHeight w:val="34"/>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1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010101"/>
              </w:rPr>
              <w:t>Marketable securities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010101"/>
              </w:rPr>
              <w:t>U.S. treasury and agency securities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010101"/>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203,175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01010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630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01010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(11)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01010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203,794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010101"/>
              </w:rPr>
              <w:t>Commercial paper</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11,459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11,462</w:t>
            </w:r>
          </w:p>
        </w:tc>
        <w:tc>
          <w:tcPr>
            <w:tcW w:w="0" w:type="dxa"/>
            <w:vAlign w:val="bottom"/>
          </w:tcPr>
          <w:p>
            <w:pPr>
              <w:spacing w:after="0"/>
              <w:rPr>
                <w:sz w:val="1"/>
                <w:szCs w:val="1"/>
                <w:color w:val="auto"/>
              </w:rPr>
            </w:pPr>
          </w:p>
        </w:tc>
      </w:tr>
      <w:tr>
        <w:trPr>
          <w:trHeight w:val="243"/>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010101"/>
              </w:rPr>
              <w:t>Corporate debt securities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802,261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3,800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(112)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805,949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1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010101"/>
              </w:rPr>
              <w:t>Total marketable securities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010101"/>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1,016,895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1,021,205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the Company’s marketable securities that were in a continuous loss position for 12 months or more, as well as the unrealized losses on those marketable securities, were not material. Unrealized losses have not been recognized into income as the Company neither intends to sell, nor anticipates that it is more likely than not that the Company will be required to sell, the securities before recovery of their amortized cost basis. The decline in fair value is due primarily to changes in market interest rates, rather than credit losses.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contractual maturities of cash equivalents and marketable securities classified as available-for-sale are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260" w:type="dxa"/>
            <w:vAlign w:val="bottom"/>
          </w:tcPr>
          <w:p>
            <w:pPr>
              <w:spacing w:after="0"/>
              <w:rPr>
                <w:sz w:val="16"/>
                <w:szCs w:val="16"/>
                <w:color w:val="auto"/>
              </w:rPr>
            </w:pPr>
          </w:p>
        </w:tc>
        <w:tc>
          <w:tcPr>
            <w:tcW w:w="2760" w:type="dxa"/>
            <w:vAlign w:val="bottom"/>
            <w:gridSpan w:val="4"/>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37"/>
        </w:trPr>
        <w:tc>
          <w:tcPr>
            <w:tcW w:w="5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58"/>
        </w:trPr>
        <w:tc>
          <w:tcPr>
            <w:tcW w:w="5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3"/>
                <w:szCs w:val="13"/>
                <w:color w:val="auto"/>
              </w:rPr>
            </w:pPr>
          </w:p>
        </w:tc>
        <w:tc>
          <w:tcPr>
            <w:tcW w:w="128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60" w:type="dxa"/>
            <w:vAlign w:val="bottom"/>
          </w:tcPr>
          <w:p>
            <w:pPr>
              <w:spacing w:after="0"/>
              <w:rPr>
                <w:sz w:val="13"/>
                <w:szCs w:val="13"/>
                <w:color w:val="auto"/>
              </w:rPr>
            </w:pPr>
          </w:p>
        </w:tc>
        <w:tc>
          <w:tcPr>
            <w:tcW w:w="130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3"/>
                <w:szCs w:val="13"/>
                <w:color w:val="auto"/>
              </w:rPr>
            </w:pPr>
          </w:p>
        </w:tc>
        <w:tc>
          <w:tcPr>
            <w:tcW w:w="1200" w:type="dxa"/>
            <w:vAlign w:val="bottom"/>
          </w:tcPr>
          <w:p>
            <w:pPr>
              <w:jc w:val="right"/>
              <w:ind w:right="337"/>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90"/>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20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50"/>
        </w:trPr>
        <w:tc>
          <w:tcPr>
            <w:tcW w:w="5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3"/>
        </w:trPr>
        <w:tc>
          <w:tcPr>
            <w:tcW w:w="5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010101"/>
              </w:rPr>
              <w:t>Due within one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441,573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464,282</w:t>
            </w:r>
          </w:p>
        </w:tc>
      </w:tr>
      <w:tr>
        <w:trPr>
          <w:trHeight w:val="243"/>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010101"/>
              </w:rPr>
              <w:t>Due after one year through five years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724,977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705,190</w:t>
            </w:r>
          </w:p>
        </w:tc>
      </w:tr>
      <w:tr>
        <w:trPr>
          <w:trHeight w:val="27"/>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51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1,167,330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1,166,550</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1,165,163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1,169,472</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Actual maturities may differ from contractual maturities because borrowers may have the right to call or prepay obligations with or without call or prepayment penalties.</w:t>
      </w:r>
    </w:p>
    <w:p>
      <w:pPr>
        <w:spacing w:after="0" w:line="162"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material allowance for credit losses as of March 31, 2026 and December 31, 2025 or impairment charges for the three months ended March 31, 2026 and 2025.</w:t>
      </w:r>
    </w:p>
    <w:p>
      <w:pPr>
        <w:spacing w:after="0" w:line="162"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There were no material realized gains or losses from available-for-sale securities that were reclassified out of accumulated other comprehensive income for the three months ended March 31, 2026 and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Assets and Liabilities</w:t>
      </w:r>
    </w:p>
    <w:p>
      <w:pPr>
        <w:spacing w:after="0" w:line="12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The Company considers fair value as the price that would be received to sell an asset or paid to transfer a liability in an orderly transaction between market participants at the measurement date. The Company utilizes the following three-level fair value hierarchy to establish the priorities of the inputs used to measure fair value:</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7"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Level 2 — Assets and liabilities valued based on observable market data for similar instruments, such as quoted prices for similar assets or liabilities or other inputs that are observable or can be corroborated by observable market data.</w:t>
      </w:r>
    </w:p>
    <w:p>
      <w:pPr>
        <w:spacing w:after="0" w:line="1" w:lineRule="exact"/>
        <w:rPr>
          <w:sz w:val="20"/>
          <w:szCs w:val="20"/>
          <w:color w:val="auto"/>
        </w:rPr>
      </w:pPr>
    </w:p>
    <w:p>
      <w:pPr>
        <w:ind w:left="660" w:right="20"/>
        <w:spacing w:after="0" w:line="260" w:lineRule="auto"/>
        <w:rPr>
          <w:sz w:val="20"/>
          <w:szCs w:val="20"/>
          <w:color w:val="auto"/>
        </w:rPr>
      </w:pPr>
      <w:r>
        <w:rPr>
          <w:rFonts w:ascii="Times New Roman" w:cs="Times New Roman" w:eastAsia="Times New Roman" w:hAnsi="Times New Roman"/>
          <w:sz w:val="18"/>
          <w:szCs w:val="18"/>
          <w:color w:val="auto"/>
        </w:rPr>
        <w:t>Level 3 — Unobservable inputs reflecting the Company’s assumptions, consistent with reasonably available assumptions made by other market participants. These valuations require significant judgment.</w:t>
      </w:r>
    </w:p>
    <w:p>
      <w:pPr>
        <w:spacing w:after="0" w:line="208" w:lineRule="exact"/>
        <w:rPr>
          <w:sz w:val="20"/>
          <w:szCs w:val="20"/>
          <w:color w:val="auto"/>
        </w:rPr>
      </w:pPr>
    </w:p>
    <w:p>
      <w:pPr>
        <w:ind w:right="20" w:firstLine="518"/>
        <w:spacing w:after="0" w:line="278"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measured at fair value on a recurring basis based on the fair value hierarchy as follows (in thousands):</w:t>
      </w: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010101"/>
                <w:w w:val="91"/>
              </w:rPr>
              <w:t>As of March 31, 2026</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010101"/>
              </w:rPr>
              <w:t>Total Fair</w:t>
            </w:r>
          </w:p>
        </w:tc>
        <w:tc>
          <w:tcPr>
            <w:tcW w:w="0" w:type="dxa"/>
            <w:vAlign w:val="bottom"/>
          </w:tcPr>
          <w:p>
            <w:pPr>
              <w:spacing w:after="0"/>
              <w:rPr>
                <w:sz w:val="1"/>
                <w:szCs w:val="1"/>
                <w:color w:val="auto"/>
              </w:rPr>
            </w:pPr>
          </w:p>
        </w:tc>
      </w:tr>
      <w:tr>
        <w:trPr>
          <w:trHeight w:val="190"/>
        </w:trPr>
        <w:tc>
          <w:tcPr>
            <w:tcW w:w="6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010101"/>
              </w:rPr>
              <w:t>Level 1</w:t>
            </w:r>
          </w:p>
        </w:tc>
        <w:tc>
          <w:tcPr>
            <w:tcW w:w="14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010101"/>
                <w:w w:val="92"/>
              </w:rPr>
              <w:t>Level 2</w:t>
            </w:r>
          </w:p>
        </w:tc>
        <w:tc>
          <w:tcPr>
            <w:tcW w:w="280" w:type="dxa"/>
            <w:vAlign w:val="bottom"/>
          </w:tcPr>
          <w:p>
            <w:pPr>
              <w:spacing w:after="0"/>
              <w:rPr>
                <w:sz w:val="16"/>
                <w:szCs w:val="16"/>
                <w:color w:val="auto"/>
              </w:rPr>
            </w:pPr>
          </w:p>
        </w:tc>
        <w:tc>
          <w:tcPr>
            <w:tcW w:w="11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010101"/>
              </w:rPr>
              <w:t>Value</w:t>
            </w:r>
          </w:p>
        </w:tc>
        <w:tc>
          <w:tcPr>
            <w:tcW w:w="0" w:type="dxa"/>
            <w:vAlign w:val="bottom"/>
          </w:tcPr>
          <w:p>
            <w:pPr>
              <w:spacing w:after="0"/>
              <w:rPr>
                <w:sz w:val="1"/>
                <w:szCs w:val="1"/>
                <w:color w:val="auto"/>
              </w:rPr>
            </w:pPr>
          </w:p>
        </w:tc>
      </w:tr>
      <w:tr>
        <w:trPr>
          <w:trHeight w:val="37"/>
        </w:trPr>
        <w:tc>
          <w:tcPr>
            <w:tcW w:w="66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010101"/>
              </w:rPr>
              <w:t>Cash equivalents</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010101"/>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010101"/>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130,361</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010101"/>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01010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130,361</w:t>
            </w:r>
          </w:p>
        </w:tc>
        <w:tc>
          <w:tcPr>
            <w:tcW w:w="0" w:type="dxa"/>
            <w:vAlign w:val="bottom"/>
          </w:tcPr>
          <w:p>
            <w:pPr>
              <w:spacing w:after="0"/>
              <w:rPr>
                <w:sz w:val="1"/>
                <w:szCs w:val="1"/>
                <w:color w:val="auto"/>
              </w:rPr>
            </w:pPr>
          </w:p>
        </w:tc>
      </w:tr>
      <w:tr>
        <w:trPr>
          <w:trHeight w:val="27"/>
        </w:trPr>
        <w:tc>
          <w:tcPr>
            <w:tcW w:w="6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010101"/>
              </w:rPr>
              <w:t>Total cash equivalents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010101"/>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130,361</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010101"/>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010101"/>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130,361</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010101"/>
              </w:rPr>
              <w:t>Marketable securities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010101"/>
              </w:rPr>
              <w:t>U.S. treasury and agency securities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010101"/>
                <w:w w:val="88"/>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010101"/>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202,800</w:t>
            </w:r>
          </w:p>
        </w:tc>
        <w:tc>
          <w:tcPr>
            <w:tcW w:w="0" w:type="dxa"/>
            <w:vAlign w:val="bottom"/>
          </w:tcPr>
          <w:p>
            <w:pPr>
              <w:spacing w:after="0"/>
              <w:rPr>
                <w:sz w:val="1"/>
                <w:szCs w:val="1"/>
                <w:color w:val="auto"/>
              </w:rPr>
            </w:pPr>
          </w:p>
        </w:tc>
      </w:tr>
      <w:tr>
        <w:trPr>
          <w:trHeight w:val="243"/>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010101"/>
              </w:rPr>
              <w:t>Commercial paper</w:t>
            </w:r>
          </w:p>
        </w:tc>
        <w:tc>
          <w:tcPr>
            <w:tcW w:w="3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010101"/>
              </w:rPr>
              <w:t>Corporate debt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823,776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823,776</w:t>
            </w:r>
          </w:p>
        </w:tc>
        <w:tc>
          <w:tcPr>
            <w:tcW w:w="0" w:type="dxa"/>
            <w:vAlign w:val="bottom"/>
          </w:tcPr>
          <w:p>
            <w:pPr>
              <w:spacing w:after="0"/>
              <w:rPr>
                <w:sz w:val="1"/>
                <w:szCs w:val="1"/>
                <w:color w:val="auto"/>
              </w:rPr>
            </w:pPr>
          </w:p>
        </w:tc>
      </w:tr>
      <w:tr>
        <w:trPr>
          <w:trHeight w:val="236"/>
        </w:trPr>
        <w:tc>
          <w:tcPr>
            <w:tcW w:w="6680" w:type="dxa"/>
            <w:vAlign w:val="bottom"/>
          </w:tcPr>
          <w:p>
            <w:pPr>
              <w:ind w:left="680"/>
              <w:spacing w:after="0"/>
              <w:rPr>
                <w:sz w:val="20"/>
                <w:szCs w:val="20"/>
                <w:color w:val="auto"/>
              </w:rPr>
            </w:pPr>
            <w:r>
              <w:rPr>
                <w:rFonts w:ascii="Times New Roman" w:cs="Times New Roman" w:eastAsia="Times New Roman" w:hAnsi="Times New Roman"/>
                <w:sz w:val="18"/>
                <w:szCs w:val="18"/>
                <w:color w:val="010101"/>
              </w:rPr>
              <w:t>Total marketable securities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1,036,189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1,036,189</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010101"/>
                <w:w w:val="92"/>
              </w:rPr>
              <w:t>As of December 31, 2025</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66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58"/>
        </w:trPr>
        <w:tc>
          <w:tcPr>
            <w:tcW w:w="6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374"/>
              <w:spacing w:after="0" w:line="158" w:lineRule="exact"/>
              <w:rPr>
                <w:sz w:val="20"/>
                <w:szCs w:val="20"/>
                <w:color w:val="auto"/>
              </w:rPr>
            </w:pPr>
            <w:r>
              <w:rPr>
                <w:rFonts w:ascii="Times New Roman" w:cs="Times New Roman" w:eastAsia="Times New Roman" w:hAnsi="Times New Roman"/>
                <w:sz w:val="14"/>
                <w:szCs w:val="14"/>
                <w:b w:val="1"/>
                <w:bCs w:val="1"/>
                <w:color w:val="010101"/>
              </w:rPr>
              <w:t>Total Fair</w:t>
            </w:r>
          </w:p>
        </w:tc>
      </w:tr>
      <w:tr>
        <w:trPr>
          <w:trHeight w:val="204"/>
        </w:trPr>
        <w:tc>
          <w:tcPr>
            <w:tcW w:w="6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010101"/>
              </w:rPr>
              <w:t>Level 1</w:t>
            </w:r>
          </w:p>
        </w:tc>
        <w:tc>
          <w:tcPr>
            <w:tcW w:w="32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010101"/>
                <w:w w:val="92"/>
              </w:rPr>
              <w:t>Level 2</w:t>
            </w:r>
          </w:p>
        </w:tc>
        <w:tc>
          <w:tcPr>
            <w:tcW w:w="280" w:type="dxa"/>
            <w:vAlign w:val="bottom"/>
          </w:tcPr>
          <w:p>
            <w:pPr>
              <w:spacing w:after="0"/>
              <w:rPr>
                <w:sz w:val="17"/>
                <w:szCs w:val="17"/>
                <w:color w:val="auto"/>
              </w:rPr>
            </w:pPr>
          </w:p>
        </w:tc>
        <w:tc>
          <w:tcPr>
            <w:tcW w:w="11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010101"/>
              </w:rPr>
              <w:t>Value</w:t>
            </w:r>
          </w:p>
        </w:tc>
      </w:tr>
      <w:tr>
        <w:trPr>
          <w:trHeight w:val="37"/>
        </w:trPr>
        <w:tc>
          <w:tcPr>
            <w:tcW w:w="66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30"/>
        </w:trPr>
        <w:tc>
          <w:tcPr>
            <w:tcW w:w="6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010101"/>
              </w:rPr>
              <w:t>Cash equivalents</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010101"/>
              </w:rPr>
              <w:t>Money market funds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010101"/>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142,772</w:t>
            </w:r>
          </w:p>
        </w:tc>
        <w:tc>
          <w:tcPr>
            <w:tcW w:w="80" w:type="dxa"/>
            <w:vAlign w:val="bottom"/>
          </w:tcPr>
          <w:p>
            <w:pPr>
              <w:spacing w:after="0"/>
              <w:rPr>
                <w:sz w:val="21"/>
                <w:szCs w:val="21"/>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01010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01010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142,772</w:t>
            </w:r>
          </w:p>
        </w:tc>
      </w:tr>
      <w:tr>
        <w:trPr>
          <w:trHeight w:val="27"/>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010101"/>
              </w:rPr>
              <w:t>Commercial paper</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5,495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5,495</w:t>
            </w:r>
          </w:p>
        </w:tc>
      </w:tr>
      <w:tr>
        <w:trPr>
          <w:trHeight w:val="237"/>
        </w:trPr>
        <w:tc>
          <w:tcPr>
            <w:tcW w:w="6680" w:type="dxa"/>
            <w:vAlign w:val="bottom"/>
          </w:tcPr>
          <w:p>
            <w:pPr>
              <w:ind w:left="680"/>
              <w:spacing w:after="0"/>
              <w:rPr>
                <w:sz w:val="20"/>
                <w:szCs w:val="20"/>
                <w:color w:val="auto"/>
              </w:rPr>
            </w:pPr>
            <w:r>
              <w:rPr>
                <w:rFonts w:ascii="Times New Roman" w:cs="Times New Roman" w:eastAsia="Times New Roman" w:hAnsi="Times New Roman"/>
                <w:sz w:val="18"/>
                <w:szCs w:val="18"/>
                <w:color w:val="010101"/>
              </w:rPr>
              <w:t>Total cash equivalents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010101"/>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10101"/>
              </w:rPr>
              <w:t>142,772</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010101"/>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10101"/>
              </w:rPr>
              <w:t>5,495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010101"/>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10101"/>
              </w:rPr>
              <w:t>148,267</w:t>
            </w:r>
          </w:p>
        </w:tc>
      </w:tr>
      <w:tr>
        <w:trPr>
          <w:trHeight w:val="34"/>
        </w:trPr>
        <w:tc>
          <w:tcPr>
            <w:tcW w:w="6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010101"/>
              </w:rPr>
              <w:t>Marketable securities</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010101"/>
              </w:rPr>
              <w:t>U.S. treasury and agency securities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010101"/>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80" w:type="dxa"/>
            <w:vAlign w:val="bottom"/>
          </w:tcPr>
          <w:p>
            <w:pPr>
              <w:spacing w:after="0"/>
              <w:rPr>
                <w:sz w:val="21"/>
                <w:szCs w:val="21"/>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01010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203,794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01010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203,794</w:t>
            </w:r>
          </w:p>
        </w:tc>
      </w:tr>
      <w:tr>
        <w:trPr>
          <w:trHeight w:val="27"/>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010101"/>
              </w:rPr>
              <w:t>Commercial paper</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11,462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11,462</w:t>
            </w:r>
          </w:p>
        </w:tc>
      </w:tr>
      <w:tr>
        <w:trPr>
          <w:trHeight w:val="243"/>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010101"/>
              </w:rPr>
              <w:t>Corporate debt securities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805,949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805,949</w:t>
            </w:r>
          </w:p>
        </w:tc>
      </w:tr>
      <w:tr>
        <w:trPr>
          <w:trHeight w:val="27"/>
        </w:trPr>
        <w:tc>
          <w:tcPr>
            <w:tcW w:w="6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66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010101"/>
              </w:rPr>
              <w:t>Total marketable securities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01010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1,021,205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010101"/>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1,021,205</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and December 31, 2025, there were no marketable securities with Level 3 fair value hierarchy measurement.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Nonrecurring Basis</w:t>
      </w:r>
    </w:p>
    <w:p>
      <w:pPr>
        <w:spacing w:after="0" w:line="229"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Goodwill, intangible assets, property, plant and equipment, and certain equity investments without readily determinable fair values are not required to be measured at fair value on a recurring basis. However, if the Company is required to evaluate these assets for impairment, whether due to certain triggering events or because of the required annual impairment test, and a resulting impairment is recorded to reduce the carrying value to the fair value, these assets are measured at fair value during such period. There was no impairment on these assets during the three months ended March 31, 2026 and 2025.</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and December 31, 2025, the Company had no liabilities required to be measured at fair value on a nonrecurring basis.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N</w:t>
      </w:r>
      <w:r>
        <w:rPr>
          <w:rFonts w:ascii="Times New Roman" w:cs="Times New Roman" w:eastAsia="Times New Roman" w:hAnsi="Times New Roman"/>
          <w:sz w:val="18"/>
          <w:szCs w:val="18"/>
          <w:b w:val="1"/>
          <w:bCs w:val="1"/>
          <w:color w:val="231F20"/>
        </w:rPr>
        <w:t>ot Measured at Fair Value</w:t>
      </w:r>
    </w:p>
    <w:p>
      <w:pPr>
        <w:spacing w:after="0" w:line="256"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231F20"/>
        </w:rPr>
        <w:t>The carryi</w:t>
      </w:r>
      <w:r>
        <w:rPr>
          <w:rFonts w:ascii="Times New Roman" w:cs="Times New Roman" w:eastAsia="Times New Roman" w:hAnsi="Times New Roman"/>
          <w:sz w:val="18"/>
          <w:szCs w:val="18"/>
          <w:color w:val="000000"/>
        </w:rPr>
        <w:t>ng amount of the Company’s financial instruments, including cash equivalents, accounts receivable, and accounts payable, approximates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their respective fair values because of their short maturities.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Condensed Consolidated 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Inventory consists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00" w:type="dxa"/>
            <w:vAlign w:val="bottom"/>
          </w:tcPr>
          <w:p>
            <w:pPr>
              <w:spacing w:after="0"/>
              <w:rPr>
                <w:sz w:val="16"/>
                <w:szCs w:val="16"/>
                <w:color w:val="auto"/>
              </w:rPr>
            </w:pPr>
          </w:p>
        </w:tc>
      </w:tr>
      <w:tr>
        <w:trPr>
          <w:trHeight w:val="37"/>
        </w:trPr>
        <w:tc>
          <w:tcPr>
            <w:tcW w:w="78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86"/>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5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8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43"/>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101"/>
              </w:rPr>
              <w:t>Raw materials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010101"/>
              </w:rPr>
              <w:t>Work-in-progress</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35,752</w:t>
            </w:r>
          </w:p>
        </w:tc>
      </w:tr>
      <w:tr>
        <w:trPr>
          <w:trHeight w:val="27"/>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101"/>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23,143</w:t>
            </w:r>
          </w:p>
        </w:tc>
      </w:tr>
      <w:tr>
        <w:trPr>
          <w:trHeight w:val="237"/>
        </w:trPr>
        <w:tc>
          <w:tcPr>
            <w:tcW w:w="7800" w:type="dxa"/>
            <w:vAlign w:val="bottom"/>
          </w:tcPr>
          <w:p>
            <w:pPr>
              <w:ind w:left="680"/>
              <w:spacing w:after="0"/>
              <w:rPr>
                <w:sz w:val="20"/>
                <w:szCs w:val="20"/>
                <w:color w:val="auto"/>
              </w:rPr>
            </w:pPr>
            <w:r>
              <w:rPr>
                <w:rFonts w:ascii="Times New Roman" w:cs="Times New Roman" w:eastAsia="Times New Roman" w:hAnsi="Times New Roman"/>
                <w:sz w:val="18"/>
                <w:szCs w:val="18"/>
                <w:color w:val="010101"/>
              </w:rPr>
              <w:t>Total inventory</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60,156</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58,979</w:t>
            </w:r>
          </w:p>
        </w:tc>
      </w:tr>
      <w:tr>
        <w:trPr>
          <w:trHeight w:val="27"/>
        </w:trPr>
        <w:tc>
          <w:tcPr>
            <w:tcW w:w="7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165"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00" w:type="dxa"/>
            <w:vAlign w:val="bottom"/>
          </w:tcPr>
          <w:p>
            <w:pPr>
              <w:spacing w:after="0"/>
              <w:rPr>
                <w:sz w:val="16"/>
                <w:szCs w:val="16"/>
                <w:color w:val="auto"/>
              </w:rPr>
            </w:pPr>
          </w:p>
        </w:tc>
      </w:tr>
      <w:tr>
        <w:trPr>
          <w:trHeight w:val="37"/>
        </w:trPr>
        <w:tc>
          <w:tcPr>
            <w:tcW w:w="78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86"/>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5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8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43"/>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40,510</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21,603</w:t>
            </w:r>
          </w:p>
        </w:tc>
      </w:tr>
      <w:tr>
        <w:trPr>
          <w:trHeight w:val="27"/>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28,171</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11,439</w:t>
            </w:r>
          </w:p>
        </w:tc>
      </w:tr>
      <w:tr>
        <w:trPr>
          <w:trHeight w:val="27"/>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37"/>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112,604</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103,760</w:t>
            </w:r>
          </w:p>
        </w:tc>
      </w:tr>
      <w:tr>
        <w:trPr>
          <w:trHeight w:val="27"/>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(15,432)</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(11,722)</w:t>
            </w:r>
          </w:p>
        </w:tc>
      </w:tr>
      <w:tr>
        <w:trPr>
          <w:trHeight w:val="237"/>
        </w:trPr>
        <w:tc>
          <w:tcPr>
            <w:tcW w:w="78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97,172</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92,038</w:t>
            </w:r>
          </w:p>
        </w:tc>
      </w:tr>
      <w:tr>
        <w:trPr>
          <w:trHeight w:val="27"/>
        </w:trPr>
        <w:tc>
          <w:tcPr>
            <w:tcW w:w="7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
        </w:trPr>
        <w:tc>
          <w:tcPr>
            <w:tcW w:w="7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left="60" w:firstLine="518"/>
        <w:spacing w:after="0" w:line="261" w:lineRule="auto"/>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8"/>
          <w:szCs w:val="18"/>
          <w:color w:val="231F20"/>
        </w:rPr>
        <w:t>expense for the three months ended March 31,</w:t>
      </w:r>
      <w:r>
        <w:rPr>
          <w:rFonts w:ascii="Times New Roman" w:cs="Times New Roman" w:eastAsia="Times New Roman" w:hAnsi="Times New Roman"/>
          <w:sz w:val="18"/>
          <w:szCs w:val="18"/>
          <w:color w:val="auto"/>
        </w:rPr>
        <w:t xml:space="preserve"> 2026 </w:t>
      </w:r>
      <w:r>
        <w:rPr>
          <w:rFonts w:ascii="Times New Roman" w:cs="Times New Roman" w:eastAsia="Times New Roman" w:hAnsi="Times New Roman"/>
          <w:sz w:val="18"/>
          <w:szCs w:val="18"/>
          <w:color w:val="231F20"/>
        </w:rPr>
        <w:t>and 2025 was</w:t>
      </w:r>
      <w:r>
        <w:rPr>
          <w:rFonts w:ascii="Times New Roman" w:cs="Times New Roman" w:eastAsia="Times New Roman" w:hAnsi="Times New Roman"/>
          <w:sz w:val="18"/>
          <w:szCs w:val="18"/>
          <w:color w:val="auto"/>
        </w:rPr>
        <w:t xml:space="preserve"> $3.7 million and $1.1 million, respectively. </w:t>
      </w:r>
      <w:r>
        <w:rPr>
          <w:rFonts w:ascii="Times New Roman" w:cs="Times New Roman" w:eastAsia="Times New Roman" w:hAnsi="Times New Roman"/>
          <w:sz w:val="18"/>
          <w:szCs w:val="18"/>
          <w:color w:val="231F20"/>
        </w:rPr>
        <w:t>Construction in progress primarily includes production equipment costs capitalized relating to the Company’s future products and will be placed in service and begin to depreciate when related manufacturing commences. Production equipment has been placed into service for the manufacturing of released products.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165"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00" w:type="dxa"/>
            <w:vAlign w:val="bottom"/>
          </w:tcPr>
          <w:p>
            <w:pPr>
              <w:spacing w:after="0"/>
              <w:rPr>
                <w:sz w:val="16"/>
                <w:szCs w:val="16"/>
                <w:color w:val="auto"/>
              </w:rPr>
            </w:pPr>
          </w:p>
        </w:tc>
      </w:tr>
      <w:tr>
        <w:trPr>
          <w:trHeight w:val="37"/>
        </w:trPr>
        <w:tc>
          <w:tcPr>
            <w:tcW w:w="78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86"/>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5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8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43"/>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101"/>
              </w:rPr>
              <w:t>Accrued compensation and benefits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46,510</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010101"/>
              </w:rPr>
              <w:t>Accrued software license costs</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w:t>
            </w:r>
          </w:p>
        </w:tc>
      </w:tr>
      <w:tr>
        <w:trPr>
          <w:trHeight w:val="27"/>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101"/>
              </w:rPr>
              <w:t>Holdback in connection with acquisitions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010101"/>
              </w:rPr>
              <w:t>Accrued production equipment</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w:t>
            </w:r>
          </w:p>
        </w:tc>
      </w:tr>
      <w:tr>
        <w:trPr>
          <w:trHeight w:val="27"/>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101"/>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30,699</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21,479</w:t>
            </w:r>
          </w:p>
        </w:tc>
      </w:tr>
      <w:tr>
        <w:trPr>
          <w:trHeight w:val="237"/>
        </w:trPr>
        <w:tc>
          <w:tcPr>
            <w:tcW w:w="7800" w:type="dxa"/>
            <w:vAlign w:val="bottom"/>
          </w:tcPr>
          <w:p>
            <w:pPr>
              <w:ind w:left="680"/>
              <w:spacing w:after="0"/>
              <w:rPr>
                <w:sz w:val="20"/>
                <w:szCs w:val="20"/>
                <w:color w:val="auto"/>
              </w:rPr>
            </w:pPr>
            <w:r>
              <w:rPr>
                <w:rFonts w:ascii="Times New Roman" w:cs="Times New Roman" w:eastAsia="Times New Roman" w:hAnsi="Times New Roman"/>
                <w:sz w:val="18"/>
                <w:szCs w:val="18"/>
                <w:color w:val="010101"/>
              </w:rPr>
              <w:t>Total accrued expenses and other current liabilities</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69,226</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90,680</w:t>
            </w:r>
          </w:p>
        </w:tc>
      </w:tr>
      <w:tr>
        <w:trPr>
          <w:trHeight w:val="27"/>
        </w:trPr>
        <w:tc>
          <w:tcPr>
            <w:tcW w:w="7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7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provides supplemental non-cash investing and financing activities (in thousands):</w:t>
      </w:r>
    </w:p>
    <w:p>
      <w:pPr>
        <w:spacing w:after="0" w:line="57"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4989195</wp:posOffset>
            </wp:positionH>
            <wp:positionV relativeFrom="paragraph">
              <wp:posOffset>41910</wp:posOffset>
            </wp:positionV>
            <wp:extent cx="21856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62" w:lineRule="exact"/>
        <w:rPr>
          <w:sz w:val="20"/>
          <w:szCs w:val="20"/>
          <w:color w:val="auto"/>
        </w:rPr>
      </w:pPr>
    </w:p>
    <w:p>
      <w:pPr>
        <w:ind w:left="8560"/>
        <w:spacing w:after="0"/>
        <w:tabs>
          <w:tab w:leader="none" w:pos="1030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46" w:lineRule="exact"/>
        <w:rPr>
          <w:sz w:val="20"/>
          <w:szCs w:val="20"/>
          <w:color w:val="auto"/>
        </w:rPr>
      </w:pPr>
    </w:p>
    <w:tbl>
      <w:tblPr>
        <w:tblLayout w:type="fixed"/>
        <w:tblInd w:w="60" w:type="dxa"/>
        <w:tblCellMar>
          <w:top w:w="0" w:type="dxa"/>
          <w:left w:w="0" w:type="dxa"/>
          <w:bottom w:w="0" w:type="dxa"/>
          <w:right w:w="0" w:type="dxa"/>
        </w:tblCellMar>
      </w:tblPr>
      <w:tr>
        <w:trPr>
          <w:trHeight w:val="264"/>
        </w:trPr>
        <w:tc>
          <w:tcPr>
            <w:tcW w:w="7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60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accrued expenses and other current liabilities</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16,194</w:t>
            </w:r>
          </w:p>
        </w:tc>
        <w:tc>
          <w:tcPr>
            <w:tcW w:w="80" w:type="dxa"/>
            <w:vAlign w:val="bottom"/>
          </w:tcPr>
          <w:p>
            <w:pPr>
              <w:spacing w:after="0"/>
              <w:rPr>
                <w:sz w:val="21"/>
                <w:szCs w:val="21"/>
                <w:color w:val="auto"/>
              </w:rPr>
            </w:pP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Business Combinations</w:t>
      </w:r>
    </w:p>
    <w:p>
      <w:pPr>
        <w:spacing w:after="0" w:line="229" w:lineRule="exact"/>
        <w:rPr>
          <w:sz w:val="20"/>
          <w:szCs w:val="20"/>
          <w:color w:val="auto"/>
        </w:rPr>
      </w:pPr>
    </w:p>
    <w:p>
      <w:pPr>
        <w:jc w:val="both"/>
        <w:ind w:left="60" w:firstLine="324"/>
        <w:spacing w:after="0" w:line="258" w:lineRule="auto"/>
        <w:rPr>
          <w:sz w:val="20"/>
          <w:szCs w:val="20"/>
          <w:color w:val="auto"/>
        </w:rPr>
      </w:pPr>
      <w:r>
        <w:rPr>
          <w:rFonts w:ascii="Times New Roman" w:cs="Times New Roman" w:eastAsia="Times New Roman" w:hAnsi="Times New Roman"/>
          <w:sz w:val="18"/>
          <w:szCs w:val="18"/>
          <w:color w:val="auto"/>
        </w:rPr>
        <w:t>On February 9, 2026, the Company acquired certain assets of a privately held company that develops data center acceleration solutions designed to make data storage and processing faster, more efficient, and more cost-effective. In connection with the acquisition, the Company added highly skilled workforce and technology to enable development of its products and solutions. The total purchase consideration was $74.0 million, which consisted of $65.0 million in cash, $5.0 million in holdback for general indemnities, and $4.0 million in share-based consideration. The transaction has been accounted for as a business combination.</w:t>
      </w:r>
    </w:p>
    <w:p>
      <w:pPr>
        <w:spacing w:after="0" w:line="183" w:lineRule="exact"/>
        <w:rPr>
          <w:sz w:val="20"/>
          <w:szCs w:val="20"/>
          <w:color w:val="auto"/>
        </w:rPr>
      </w:pPr>
    </w:p>
    <w:p>
      <w:pPr>
        <w:jc w:val="both"/>
        <w:ind w:left="60" w:right="20"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purchase price was allocated on a preliminary basis to goodwill of $68.4 million and an</w:t>
      </w:r>
      <w:r>
        <w:rPr>
          <w:rFonts w:ascii="Times New Roman" w:cs="Times New Roman" w:eastAsia="Times New Roman" w:hAnsi="Times New Roman"/>
          <w:sz w:val="18"/>
          <w:szCs w:val="18"/>
          <w:color w:val="231F20"/>
        </w:rPr>
        <w:t xml:space="preserve"> immaterial amount to intangible assets and net identifiable assets acquired. </w:t>
      </w:r>
      <w:r>
        <w:rPr>
          <w:rFonts w:ascii="Times New Roman" w:cs="Times New Roman" w:eastAsia="Times New Roman" w:hAnsi="Times New Roman"/>
          <w:sz w:val="18"/>
          <w:szCs w:val="18"/>
          <w:color w:val="000000"/>
        </w:rPr>
        <w:t>Goodwill primarily relates to expected synergies and assembled workforce and is not deductible for U.S. federal income tax</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purposes.</w:t>
      </w:r>
    </w:p>
    <w:p>
      <w:pPr>
        <w:sectPr>
          <w:pgSz w:w="11900" w:h="16838" w:orient="portrait"/>
          <w:cols w:equalWidth="0" w:num="1">
            <w:col w:w="11300"/>
          </w:cols>
          <w:pgMar w:left="260" w:top="2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260" w:top="269" w:right="339" w:bottom="1440" w:gutter="0" w:footer="0" w:header="0"/>
          <w:type w:val="continuous"/>
        </w:sectPr>
      </w:pPr>
    </w:p>
    <w:bookmarkStart w:id="16" w:name="page17"/>
    <w:bookmarkEnd w:id="16"/>
    <w:p>
      <w:pPr>
        <w:ind w:left="1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left="100" w:firstLine="324"/>
        <w:spacing w:after="0" w:line="266" w:lineRule="auto"/>
        <w:rPr>
          <w:sz w:val="20"/>
          <w:szCs w:val="20"/>
          <w:color w:val="auto"/>
        </w:rPr>
      </w:pPr>
      <w:r>
        <w:rPr>
          <w:rFonts w:ascii="Times New Roman" w:cs="Times New Roman" w:eastAsia="Times New Roman" w:hAnsi="Times New Roman"/>
          <w:sz w:val="18"/>
          <w:szCs w:val="18"/>
          <w:color w:val="auto"/>
        </w:rPr>
        <w:t>Additional information related to the acquisition, such as that related to income tax and other contingencies, existing as of the acquisition date may become known during the remainder of the measurement period, not to exceed 12 months from the acquisition date, which may result in changes to the amounts and allocations recorded.</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During the </w:t>
      </w:r>
      <w:r>
        <w:rPr>
          <w:rFonts w:ascii="Times New Roman" w:cs="Times New Roman" w:eastAsia="Times New Roman" w:hAnsi="Times New Roman"/>
          <w:sz w:val="18"/>
          <w:szCs w:val="18"/>
          <w:color w:val="231F20"/>
        </w:rPr>
        <w:t>three months ended March 31,</w:t>
      </w:r>
      <w:r>
        <w:rPr>
          <w:rFonts w:ascii="Times New Roman" w:cs="Times New Roman" w:eastAsia="Times New Roman" w:hAnsi="Times New Roman"/>
          <w:sz w:val="18"/>
          <w:szCs w:val="18"/>
          <w:color w:val="auto"/>
        </w:rPr>
        <w:t xml:space="preserve"> 2026, the Company had immaterial measurement period adjustments to goodwill.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Leases</w:t>
      </w:r>
    </w:p>
    <w:p>
      <w:pPr>
        <w:spacing w:after="0" w:line="229" w:lineRule="exact"/>
        <w:rPr>
          <w:sz w:val="20"/>
          <w:szCs w:val="20"/>
          <w:color w:val="auto"/>
        </w:rPr>
      </w:pPr>
    </w:p>
    <w:p>
      <w:pPr>
        <w:jc w:val="both"/>
        <w:ind w:left="100" w:firstLine="324"/>
        <w:spacing w:after="0" w:line="266" w:lineRule="auto"/>
        <w:rPr>
          <w:sz w:val="20"/>
          <w:szCs w:val="20"/>
          <w:color w:val="auto"/>
        </w:rPr>
      </w:pPr>
      <w:r>
        <w:rPr>
          <w:rFonts w:ascii="Times New Roman" w:cs="Times New Roman" w:eastAsia="Times New Roman" w:hAnsi="Times New Roman"/>
          <w:sz w:val="18"/>
          <w:szCs w:val="18"/>
          <w:color w:val="auto"/>
        </w:rPr>
        <w:t>The Company has entered into operating leases primarily for office real estate in the United States and internationally. From time to time, the Company entered into a new leases and renewed existing leases in the ordinary course of business to support its ongoing operations and growth. The Company’s lease payments consist primarily of fixed rental payments for the right to use the underlying leased assets over the lease terms for all leases.</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operating leases is as follows (in thousands):</w:t>
      </w:r>
    </w:p>
    <w:p>
      <w:pPr>
        <w:spacing w:after="0" w:line="165"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00" w:type="dxa"/>
            <w:vAlign w:val="bottom"/>
          </w:tcPr>
          <w:p>
            <w:pPr>
              <w:spacing w:after="0"/>
              <w:rPr>
                <w:sz w:val="16"/>
                <w:szCs w:val="16"/>
                <w:color w:val="auto"/>
              </w:rPr>
            </w:pPr>
          </w:p>
        </w:tc>
      </w:tr>
      <w:tr>
        <w:trPr>
          <w:trHeight w:val="37"/>
        </w:trPr>
        <w:tc>
          <w:tcPr>
            <w:tcW w:w="78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86"/>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5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8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3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10101"/>
              </w:rPr>
              <w:t>Assets</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010101"/>
              </w:rPr>
              <w:t>Operating lease ROU assets,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33,874</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22,810</w:t>
            </w:r>
          </w:p>
        </w:tc>
      </w:tr>
      <w:tr>
        <w:trPr>
          <w:trHeight w:val="27"/>
        </w:trPr>
        <w:tc>
          <w:tcPr>
            <w:tcW w:w="7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10101"/>
              </w:rPr>
              <w:t>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010101"/>
              </w:rPr>
              <w:t>Operating lease liabilities, current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r>
      <w:tr>
        <w:trPr>
          <w:trHeight w:val="27"/>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101"/>
              </w:rPr>
              <w:t>Operating lease liabilities, noncurrent</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26,828</w:t>
            </w:r>
          </w:p>
        </w:tc>
      </w:tr>
      <w:tr>
        <w:trPr>
          <w:trHeight w:val="237"/>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010101"/>
              </w:rPr>
              <w:t>Total lease liabilities</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41,850</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30,974</w:t>
            </w:r>
          </w:p>
        </w:tc>
      </w:tr>
      <w:tr>
        <w:trPr>
          <w:trHeight w:val="27"/>
        </w:trPr>
        <w:tc>
          <w:tcPr>
            <w:tcW w:w="7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
        </w:trPr>
        <w:tc>
          <w:tcPr>
            <w:tcW w:w="7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100" w:firstLine="324"/>
        <w:spacing w:after="0" w:line="282" w:lineRule="auto"/>
        <w:rPr>
          <w:sz w:val="20"/>
          <w:szCs w:val="20"/>
          <w:color w:val="auto"/>
        </w:rPr>
      </w:pPr>
      <w:r>
        <w:rPr>
          <w:rFonts w:ascii="Times New Roman" w:cs="Times New Roman" w:eastAsia="Times New Roman" w:hAnsi="Times New Roman"/>
          <w:sz w:val="18"/>
          <w:szCs w:val="18"/>
          <w:color w:val="auto"/>
        </w:rPr>
        <w:t>Operating lease ROU assets, net are included in other assets; operating lease liabilities, current are included in accrued expenses and other current liabilities; and operating lease liabilities, non-current are included in other liabilities, on the condensed consolidated balance sheets.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weighted-average remaining lease term and discount rates were as follows:</w:t>
      </w:r>
    </w:p>
    <w:p>
      <w:pPr>
        <w:spacing w:after="0" w:line="57"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2000" w:type="dxa"/>
            <w:vAlign w:val="bottom"/>
            <w:gridSpan w:val="3"/>
          </w:tcPr>
          <w:p>
            <w:pPr>
              <w:ind w:left="16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37"/>
        </w:trPr>
        <w:tc>
          <w:tcPr>
            <w:tcW w:w="7560" w:type="dxa"/>
            <w:vAlign w:val="bottom"/>
          </w:tcPr>
          <w:p>
            <w:pPr>
              <w:spacing w:after="0"/>
              <w:rPr>
                <w:sz w:val="3"/>
                <w:szCs w:val="3"/>
                <w:color w:val="auto"/>
              </w:rPr>
            </w:pPr>
          </w:p>
        </w:tc>
        <w:tc>
          <w:tcPr>
            <w:tcW w:w="200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86"/>
        </w:trPr>
        <w:tc>
          <w:tcPr>
            <w:tcW w:w="7560" w:type="dxa"/>
            <w:vAlign w:val="bottom"/>
          </w:tcPr>
          <w:p>
            <w:pPr>
              <w:spacing w:after="0"/>
              <w:rPr>
                <w:sz w:val="16"/>
                <w:szCs w:val="16"/>
                <w:color w:val="auto"/>
              </w:rPr>
            </w:pPr>
          </w:p>
        </w:tc>
        <w:tc>
          <w:tcPr>
            <w:tcW w:w="200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5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56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44"/>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101"/>
              </w:rPr>
              <w:t>Weighted average remaining lease term (in years)</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010101"/>
              </w:rPr>
              <w:t>Weighted average discount rate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46"/>
        </w:trPr>
        <w:tc>
          <w:tcPr>
            <w:tcW w:w="95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future minimum operating lease payments for each of the next five years and thereafter are as follows (in thousands):</w:t>
            </w: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27"/>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10101"/>
              </w:rPr>
              <w:t>Years ending December 31</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010101"/>
              </w:rPr>
              <w:t>Operating Leases</w:t>
            </w:r>
          </w:p>
        </w:tc>
      </w:tr>
      <w:tr>
        <w:trPr>
          <w:trHeight w:val="37"/>
        </w:trPr>
        <w:tc>
          <w:tcPr>
            <w:tcW w:w="7560" w:type="dxa"/>
            <w:vAlign w:val="bottom"/>
            <w:tcBorders>
              <w:bottom w:val="single" w:sz="8" w:color="CCEEFF"/>
            </w:tcBorders>
          </w:tcPr>
          <w:p>
            <w:pPr>
              <w:spacing w:after="0"/>
              <w:rPr>
                <w:sz w:val="3"/>
                <w:szCs w:val="3"/>
                <w:color w:val="auto"/>
              </w:rPr>
            </w:pPr>
          </w:p>
        </w:tc>
        <w:tc>
          <w:tcPr>
            <w:tcW w:w="17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43"/>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w:t>
            </w:r>
          </w:p>
        </w:tc>
      </w:tr>
      <w:tr>
        <w:trPr>
          <w:trHeight w:val="24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8,885</w:t>
            </w:r>
          </w:p>
        </w:tc>
      </w:tr>
      <w:tr>
        <w:trPr>
          <w:trHeight w:val="27"/>
        </w:trPr>
        <w:tc>
          <w:tcPr>
            <w:tcW w:w="75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w:t>
            </w:r>
          </w:p>
        </w:tc>
      </w:tr>
      <w:tr>
        <w:trPr>
          <w:trHeight w:val="24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8,308</w:t>
            </w:r>
          </w:p>
        </w:tc>
      </w:tr>
      <w:tr>
        <w:trPr>
          <w:trHeight w:val="27"/>
        </w:trPr>
        <w:tc>
          <w:tcPr>
            <w:tcW w:w="75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5,349</w:t>
            </w:r>
          </w:p>
        </w:tc>
      </w:tr>
      <w:tr>
        <w:trPr>
          <w:trHeight w:val="24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15,205</w:t>
            </w:r>
          </w:p>
        </w:tc>
      </w:tr>
      <w:tr>
        <w:trPr>
          <w:trHeight w:val="27"/>
        </w:trPr>
        <w:tc>
          <w:tcPr>
            <w:tcW w:w="756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75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010101"/>
              </w:rPr>
              <w:t>Total future minimum lease payments</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52,696</w:t>
            </w:r>
          </w:p>
        </w:tc>
      </w:tr>
      <w:tr>
        <w:trPr>
          <w:trHeight w:val="24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(10,846)</w:t>
            </w:r>
          </w:p>
        </w:tc>
      </w:tr>
      <w:tr>
        <w:trPr>
          <w:trHeight w:val="27"/>
        </w:trPr>
        <w:tc>
          <w:tcPr>
            <w:tcW w:w="756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89"/>
        </w:trPr>
        <w:tc>
          <w:tcPr>
            <w:tcW w:w="75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010101"/>
              </w:rPr>
              <w:t>Total operating lease liabilities</w:t>
            </w:r>
          </w:p>
        </w:tc>
        <w:tc>
          <w:tcPr>
            <w:tcW w:w="1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41,850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100" w:firstLine="518"/>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entered into lease agreements associated with the exercise of an existing expansion option at its headquarters in San Jose, California. These agreements result in total estimated future undiscounted lease obligations of $14.8 million. The lease terms are expected to commence at various dates between April 2026 and March 2027 and will expire in November 2032.</w:t>
      </w:r>
    </w:p>
    <w:p>
      <w:pPr>
        <w:sectPr>
          <w:pgSz w:w="11900" w:h="16838" w:orient="portrait"/>
          <w:cols w:equalWidth="0" w:num="1">
            <w:col w:w="11340"/>
          </w:cols>
          <w:pgMar w:left="220" w:top="2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269"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w:t>
      </w:r>
    </w:p>
    <w:p>
      <w:pPr>
        <w:spacing w:after="0" w:line="121"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The Company depends upon third-party subcontractors to manufacture wafers and other inventory parts or to perform certain services. The Company’s subcontractor relationships typically allow for the cancellation of outstanding purchase orders but require payment of all expenses incurred through the date of cancellation. The Company’s purchase commitments also include payments for software licenses and cloud services when there is a fixed, non-cancellable payment schedule or when minimum payments are due according to a delivery schedule. The Company is committed to make the following minimum payments under its purchase commitments as of March 31, 2026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010101"/>
              </w:rPr>
              <w:t>Purchase Commitments</w:t>
            </w:r>
          </w:p>
        </w:tc>
      </w:tr>
      <w:tr>
        <w:trPr>
          <w:trHeight w:val="37"/>
        </w:trPr>
        <w:tc>
          <w:tcPr>
            <w:tcW w:w="94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3"/>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29,594</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34,960</w:t>
            </w:r>
          </w:p>
        </w:tc>
      </w:tr>
      <w:tr>
        <w:trPr>
          <w:trHeight w:val="27"/>
        </w:trPr>
        <w:tc>
          <w:tcPr>
            <w:tcW w:w="9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14,701</w:t>
            </w:r>
          </w:p>
        </w:tc>
      </w:tr>
      <w:tr>
        <w:trPr>
          <w:trHeight w:val="24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7"/>
        </w:trPr>
        <w:tc>
          <w:tcPr>
            <w:tcW w:w="9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7"/>
        </w:trPr>
        <w:tc>
          <w:tcPr>
            <w:tcW w:w="9420" w:type="dxa"/>
            <w:vAlign w:val="bottom"/>
          </w:tcPr>
          <w:p>
            <w:pPr>
              <w:ind w:left="680"/>
              <w:spacing w:after="0"/>
              <w:rPr>
                <w:sz w:val="20"/>
                <w:szCs w:val="20"/>
                <w:color w:val="auto"/>
              </w:rPr>
            </w:pPr>
            <w:r>
              <w:rPr>
                <w:rFonts w:ascii="Times New Roman" w:cs="Times New Roman" w:eastAsia="Times New Roman" w:hAnsi="Times New Roman"/>
                <w:sz w:val="18"/>
                <w:szCs w:val="18"/>
                <w:color w:val="010101"/>
              </w:rPr>
              <w:t>Total purchase commitments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10101"/>
                <w:w w:val="88"/>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10101"/>
              </w:rPr>
              <w:t>79,615</w:t>
            </w:r>
          </w:p>
        </w:tc>
      </w:tr>
      <w:tr>
        <w:trPr>
          <w:trHeight w:val="27"/>
        </w:trPr>
        <w:tc>
          <w:tcPr>
            <w:tcW w:w="9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
        </w:trPr>
        <w:tc>
          <w:tcPr>
            <w:tcW w:w="9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subject to legal proceedings, claims and litigation arising in the ordinary course of business. The Company is not currently a party to any material legal proceedings or claims, nor is the Company aware of any other pending or threatened legal proceedings or claims that could reasonably be expected to have a material adverse effect on the Company’s business, operating results, cash flows or financial condition should such legal proceedings or claims be resolved unfavorably.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Obligations</w:t>
      </w:r>
    </w:p>
    <w:p>
      <w:pPr>
        <w:spacing w:after="0" w:line="121"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often includes standard indemnification provisions in its arrangements with its members, partners,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 the past incurred significant expense defending its licensees against third party claims, nor has it incurred significant expense under its standard service warranties or arrangements with its members, partners, suppliers, and vendors. Accordingly, the Company had no liabilities recorded for these provisions as of March 31, 2026 and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Common Stock Warrants</w:t>
      </w:r>
    </w:p>
    <w:p>
      <w:pPr>
        <w:spacing w:after="0" w:line="229"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In October 2022, the Company issued a warrant to a customer (“Holder”) to purchase an aggregate of up to 1,484,230 shares of Common Stock (the “Customer Warrant”). The exercise period of the Customer Warrant is through the seventh anniversary of the issue date.</w:t>
      </w:r>
    </w:p>
    <w:p>
      <w:pPr>
        <w:spacing w:after="0" w:line="54"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In October 2023, the Company amended the Customer Warrant and issued an additional warrant to the Holder to purchase an aggregate of up to 831,945 shares of Common Stock (the “2023 Warrant”), with the same exercise period as the Customer Warrant. The 2023 Warrant will vest and become exercisable over the contract term, contingent upon the achievement of performance conditions, comprised of specified tranches of purchases by the Holder and its affiliates to the Company.</w:t>
      </w:r>
    </w:p>
    <w:p>
      <w:pPr>
        <w:spacing w:after="0" w:line="72"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In February 2026, the Company issued a warrant to the Holder to acquire up to an aggregate of 3,262,299 shares of common stock at an exercise price of $142.82 per share (the “2026 Warrant”, and together with the Customer Warrant and the 2023 Warrant, the “Warrants”). The 2026 Warrant will vest and become exercisable over the contract term, contingent upon the achievement of performance conditions, comprised of specified tranches of purchases by the Holder and its affiliates to the Company.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grant date fair value of the 2026 Warrant were determined to be $85.83 per share, using the Black-Scholes-</w:t>
      </w:r>
    </w:p>
    <w:p>
      <w:pPr>
        <w:sectPr>
          <w:pgSz w:w="11900" w:h="16838" w:orient="portrait"/>
          <w:cols w:equalWidth="0" w:num="1">
            <w:col w:w="11240"/>
          </w:cols>
          <w:pgMar w:left="320" w:top="2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Merton option pricing model, for maximum total 2026 Warrant fair value of $280.0 million. The per share grant date fair values of the 2026 Warrant were estimated using the following assumptions: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20" w:type="dxa"/>
            <w:vAlign w:val="bottom"/>
          </w:tcPr>
          <w:p>
            <w:pPr>
              <w:jc w:val="right"/>
              <w:ind w:right="1193"/>
              <w:spacing w:after="0"/>
              <w:rPr>
                <w:sz w:val="20"/>
                <w:szCs w:val="20"/>
                <w:color w:val="auto"/>
              </w:rPr>
            </w:pPr>
            <w:r>
              <w:rPr>
                <w:rFonts w:ascii="Times New Roman" w:cs="Times New Roman" w:eastAsia="Times New Roman" w:hAnsi="Times New Roman"/>
                <w:sz w:val="14"/>
                <w:szCs w:val="14"/>
                <w:b w:val="1"/>
                <w:bCs w:val="1"/>
                <w:color w:val="auto"/>
              </w:rPr>
              <w:t>2026 Warrant</w:t>
            </w:r>
          </w:p>
        </w:tc>
      </w:tr>
      <w:tr>
        <w:trPr>
          <w:trHeight w:val="37"/>
        </w:trPr>
        <w:tc>
          <w:tcPr>
            <w:tcW w:w="782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r>
      <w:tr>
        <w:trPr>
          <w:trHeight w:val="270"/>
        </w:trPr>
        <w:tc>
          <w:tcPr>
            <w:tcW w:w="7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Expected dividend yield</w:t>
            </w:r>
          </w:p>
        </w:tc>
        <w:tc>
          <w:tcPr>
            <w:tcW w:w="70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2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Risk-free interest rate</w:t>
            </w:r>
          </w:p>
        </w:tc>
        <w:tc>
          <w:tcPr>
            <w:tcW w:w="70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7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Expected volatility</w:t>
            </w:r>
          </w:p>
        </w:tc>
        <w:tc>
          <w:tcPr>
            <w:tcW w:w="7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43"/>
        </w:trPr>
        <w:tc>
          <w:tcPr>
            <w:tcW w:w="782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Expected term (in years)</w:t>
            </w:r>
          </w:p>
        </w:tc>
        <w:tc>
          <w:tcPr>
            <w:tcW w:w="70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7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43"/>
        </w:trPr>
        <w:tc>
          <w:tcPr>
            <w:tcW w:w="7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Per share fair value of common stock</w:t>
            </w: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010101"/>
              </w:rPr>
              <w:t>$</w:t>
            </w:r>
          </w:p>
        </w:tc>
        <w:tc>
          <w:tcPr>
            <w:tcW w:w="27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010101"/>
              </w:rPr>
              <w:t>142.82</w:t>
            </w:r>
          </w:p>
        </w:tc>
      </w:tr>
      <w:tr>
        <w:trPr>
          <w:trHeight w:val="27"/>
        </w:trPr>
        <w:tc>
          <w:tcPr>
            <w:tcW w:w="78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jc w:val="both"/>
        <w:ind w:firstLine="518"/>
        <w:spacing w:after="0" w:line="297" w:lineRule="auto"/>
        <w:rPr>
          <w:sz w:val="20"/>
          <w:szCs w:val="20"/>
          <w:color w:val="auto"/>
        </w:rPr>
      </w:pPr>
      <w:r>
        <w:rPr>
          <w:rFonts w:ascii="Times New Roman" w:cs="Times New Roman" w:eastAsia="Times New Roman" w:hAnsi="Times New Roman"/>
          <w:sz w:val="18"/>
          <w:szCs w:val="18"/>
          <w:color w:val="auto"/>
        </w:rPr>
        <w:t>As of March 31, 2026 and December 31, 2025, an aggregate of 1,331,902 shares and 1,165,513 shares, respectively, of the underlying Warrants were vested and exercisable. Additionally, an aggregate of 73,085 and 30,589 shares were probable of vesting as of March 31, 2026 and December 31, 2025, respectively. There were no warrant exercises as of March 31, 2026.</w:t>
      </w:r>
    </w:p>
    <w:p>
      <w:pPr>
        <w:spacing w:after="0" w:line="42"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The Company recognized $2.1 million and $0.4 million for the three months ended March 31, 2026 and 2025, respectively, as a reduction of revenue in the condensed consolidated statements of operations and comprehensive income related to the Warrants. The remaining grant date fair values of the Warrants that are probable of vesting will be recognized as a reduction of revenue in proportion to the amount of related product sales, which could occur until January 2, 2033.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229" w:lineRule="exact"/>
        <w:rPr>
          <w:sz w:val="20"/>
          <w:szCs w:val="20"/>
          <w:color w:val="auto"/>
        </w:rPr>
      </w:pPr>
    </w:p>
    <w:p>
      <w:pPr>
        <w:jc w:val="both"/>
        <w:ind w:firstLine="518"/>
        <w:spacing w:after="0" w:line="278" w:lineRule="auto"/>
        <w:rPr>
          <w:sz w:val="20"/>
          <w:szCs w:val="20"/>
          <w:color w:val="auto"/>
        </w:rPr>
      </w:pPr>
      <w:r>
        <w:rPr>
          <w:rFonts w:ascii="Times New Roman" w:cs="Times New Roman" w:eastAsia="Times New Roman" w:hAnsi="Times New Roman"/>
          <w:sz w:val="18"/>
          <w:szCs w:val="18"/>
          <w:color w:val="auto"/>
        </w:rPr>
        <w:t>A summary of stock-based compensation expense recognized in the condensed consolidated statements of operations and comprehensive income is as follows (in thousands):</w:t>
      </w:r>
    </w:p>
    <w:p>
      <w:pPr>
        <w:jc w:val="center"/>
        <w:ind w:left="88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39370</wp:posOffset>
            </wp:positionV>
            <wp:extent cx="1482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9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3"/>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19,186</w:t>
            </w:r>
          </w:p>
        </w:tc>
      </w:tr>
      <w:tr>
        <w:trPr>
          <w:trHeight w:val="27"/>
        </w:trPr>
        <w:tc>
          <w:tcPr>
            <w:tcW w:w="8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12,319</w:t>
            </w:r>
          </w:p>
        </w:tc>
      </w:tr>
      <w:tr>
        <w:trPr>
          <w:trHeight w:val="24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10,979</w:t>
            </w:r>
          </w:p>
        </w:tc>
      </w:tr>
      <w:tr>
        <w:trPr>
          <w:trHeight w:val="27"/>
        </w:trPr>
        <w:tc>
          <w:tcPr>
            <w:tcW w:w="8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9"/>
        </w:trPr>
        <w:tc>
          <w:tcPr>
            <w:tcW w:w="89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42,446</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right="140"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for the three months ended March 31, 2026 did not include the $4.0 million in share-based consideration related to acquisitions, see Note 6 - Business Combinations for further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under the 2018 Plan and 2024 Plan is as follows (in thousands, except years and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00" w:type="dxa"/>
            <w:vAlign w:val="bottom"/>
          </w:tcPr>
          <w:p>
            <w:pPr>
              <w:spacing w:after="0"/>
              <w:rPr>
                <w:sz w:val="15"/>
                <w:szCs w:val="15"/>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20" w:type="dxa"/>
            <w:vAlign w:val="bottom"/>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260" w:type="dxa"/>
            <w:vAlign w:val="bottom"/>
          </w:tcPr>
          <w:p>
            <w:pPr>
              <w:spacing w:after="0"/>
              <w:rPr>
                <w:sz w:val="15"/>
                <w:szCs w:val="15"/>
                <w:color w:val="auto"/>
              </w:rPr>
            </w:pPr>
          </w:p>
        </w:tc>
        <w:tc>
          <w:tcPr>
            <w:tcW w:w="118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20" w:type="dxa"/>
            <w:vAlign w:val="bottom"/>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Remaining Contractual</w:t>
            </w:r>
          </w:p>
        </w:tc>
        <w:tc>
          <w:tcPr>
            <w:tcW w:w="260" w:type="dxa"/>
            <w:vAlign w:val="bottom"/>
          </w:tcPr>
          <w:p>
            <w:pPr>
              <w:spacing w:after="0"/>
              <w:rPr>
                <w:sz w:val="14"/>
                <w:szCs w:val="14"/>
                <w:color w:val="auto"/>
              </w:rPr>
            </w:pPr>
          </w:p>
        </w:tc>
        <w:tc>
          <w:tcPr>
            <w:tcW w:w="118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204"/>
        </w:trPr>
        <w:tc>
          <w:tcPr>
            <w:tcW w:w="510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20" w:type="dxa"/>
            <w:vAlign w:val="bottom"/>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Term (in years)</w:t>
            </w:r>
          </w:p>
        </w:tc>
        <w:tc>
          <w:tcPr>
            <w:tcW w:w="260" w:type="dxa"/>
            <w:vAlign w:val="bottom"/>
          </w:tcPr>
          <w:p>
            <w:pPr>
              <w:spacing w:after="0"/>
              <w:rPr>
                <w:sz w:val="17"/>
                <w:szCs w:val="17"/>
                <w:color w:val="auto"/>
              </w:rPr>
            </w:pPr>
          </w:p>
        </w:tc>
        <w:tc>
          <w:tcPr>
            <w:tcW w:w="118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23"/>
        </w:trPr>
        <w:tc>
          <w:tcPr>
            <w:tcW w:w="5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2025</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450,336</w:t>
            </w:r>
          </w:p>
        </w:tc>
        <w:tc>
          <w:tcPr>
            <w:tcW w:w="0" w:type="dxa"/>
            <w:vAlign w:val="bottom"/>
          </w:tcPr>
          <w:p>
            <w:pPr>
              <w:spacing w:after="0"/>
              <w:rPr>
                <w:sz w:val="1"/>
                <w:szCs w:val="1"/>
                <w:color w:val="auto"/>
              </w:rPr>
            </w:pP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00" w:type="dxa"/>
            <w:vAlign w:val="bottom"/>
            <w:tcBorders>
              <w:bottom w:val="single" w:sz="8" w:color="CCEC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1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March 31, 2026</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4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285,224</w:t>
            </w:r>
          </w:p>
        </w:tc>
        <w:tc>
          <w:tcPr>
            <w:tcW w:w="0" w:type="dxa"/>
            <w:vAlign w:val="bottom"/>
          </w:tcPr>
          <w:p>
            <w:pPr>
              <w:spacing w:after="0"/>
              <w:rPr>
                <w:sz w:val="1"/>
                <w:szCs w:val="1"/>
                <w:color w:val="auto"/>
              </w:rPr>
            </w:pPr>
          </w:p>
        </w:tc>
      </w:tr>
      <w:tr>
        <w:trPr>
          <w:trHeight w:val="20"/>
        </w:trPr>
        <w:tc>
          <w:tcPr>
            <w:tcW w:w="5100" w:type="dxa"/>
            <w:vAlign w:val="bottom"/>
            <w:tcBorders>
              <w:top w:val="single" w:sz="8" w:color="CCECFF"/>
              <w:bottom w:val="single" w:sz="8" w:color="CCEC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Vested and expected to vest as of March 31, 2026</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00" w:type="dxa"/>
            <w:vAlign w:val="bottom"/>
            <w:vMerge w:val="continue"/>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0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285,224</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as of March 31, 2026</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4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281,727</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As of March 31, 2026, there was approximately $0.6 million of total unrecognized compensation cost, related to unvested stock options, which is expected to be recognized over a weighted-average remaining requisite service period of 1.3 years, using the straight-line method.</w:t>
      </w:r>
    </w:p>
    <w:p>
      <w:pPr>
        <w:sectPr>
          <w:pgSz w:w="11900" w:h="16838" w:orient="portrait"/>
          <w:cols w:equalWidth="0" w:num="1">
            <w:col w:w="11240"/>
          </w:cols>
          <w:pgMar w:left="320" w:top="2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(“RSUs”)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RSU activity under the 2018 Plan and 2024 Plan is as follows (in thousands, except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13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010101"/>
                <w:w w:val="98"/>
              </w:rPr>
              <w:t>Number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010101"/>
                <w:w w:val="97"/>
              </w:rPr>
              <w:t>Weighted</w:t>
            </w:r>
          </w:p>
        </w:tc>
      </w:tr>
      <w:tr>
        <w:trPr>
          <w:trHeight w:val="176"/>
        </w:trPr>
        <w:tc>
          <w:tcPr>
            <w:tcW w:w="7560" w:type="dxa"/>
            <w:vAlign w:val="bottom"/>
          </w:tcPr>
          <w:p>
            <w:pPr>
              <w:spacing w:after="0"/>
              <w:rPr>
                <w:sz w:val="15"/>
                <w:szCs w:val="15"/>
                <w:color w:val="auto"/>
              </w:rPr>
            </w:pPr>
          </w:p>
        </w:tc>
        <w:tc>
          <w:tcPr>
            <w:tcW w:w="138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010101"/>
                <w:w w:val="99"/>
              </w:rPr>
              <w:t>Restricted Stock</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010101"/>
                <w:w w:val="97"/>
              </w:rPr>
              <w:t>Average Grant</w:t>
            </w:r>
          </w:p>
        </w:tc>
      </w:tr>
      <w:tr>
        <w:trPr>
          <w:trHeight w:val="175"/>
        </w:trPr>
        <w:tc>
          <w:tcPr>
            <w:tcW w:w="7560" w:type="dxa"/>
            <w:vAlign w:val="bottom"/>
          </w:tcPr>
          <w:p>
            <w:pPr>
              <w:spacing w:after="0"/>
              <w:rPr>
                <w:sz w:val="15"/>
                <w:szCs w:val="15"/>
                <w:color w:val="auto"/>
              </w:rPr>
            </w:pPr>
          </w:p>
        </w:tc>
        <w:tc>
          <w:tcPr>
            <w:tcW w:w="13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010101"/>
              </w:rPr>
              <w:t>Units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010101"/>
                <w:w w:val="96"/>
              </w:rPr>
              <w:t>Date Fair Value</w:t>
            </w:r>
          </w:p>
        </w:tc>
      </w:tr>
      <w:tr>
        <w:trPr>
          <w:trHeight w:val="190"/>
        </w:trPr>
        <w:tc>
          <w:tcPr>
            <w:tcW w:w="7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010101"/>
                <w:w w:val="97"/>
              </w:rPr>
              <w:t>(per share)</w:t>
            </w:r>
          </w:p>
        </w:tc>
      </w:tr>
      <w:tr>
        <w:trPr>
          <w:trHeight w:val="37"/>
        </w:trPr>
        <w:tc>
          <w:tcPr>
            <w:tcW w:w="756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43"/>
        </w:trPr>
        <w:tc>
          <w:tcPr>
            <w:tcW w:w="7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Outstanding as of December 31, 2025</w:t>
            </w:r>
          </w:p>
        </w:tc>
        <w:tc>
          <w:tcPr>
            <w:tcW w:w="1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w w:val="93"/>
              </w:rPr>
              <w:t>9,354</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010101"/>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51.39</w:t>
            </w:r>
          </w:p>
        </w:tc>
      </w:tr>
      <w:tr>
        <w:trPr>
          <w:trHeight w:val="243"/>
        </w:trPr>
        <w:tc>
          <w:tcPr>
            <w:tcW w:w="8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010101"/>
                <w:w w:val="93"/>
              </w:rPr>
              <w:t>1,127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142.91</w:t>
            </w:r>
          </w:p>
        </w:tc>
      </w:tr>
      <w:tr>
        <w:trPr>
          <w:trHeight w:val="27"/>
        </w:trPr>
        <w:tc>
          <w:tcPr>
            <w:tcW w:w="7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89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Vested</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w w:val="97"/>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31.50</w:t>
            </w:r>
          </w:p>
        </w:tc>
      </w:tr>
      <w:tr>
        <w:trPr>
          <w:trHeight w:val="243"/>
        </w:trPr>
        <w:tc>
          <w:tcPr>
            <w:tcW w:w="8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Cancelled and forfeited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010101"/>
                <w:w w:val="97"/>
              </w:rPr>
              <w:t>(208)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81.68</w:t>
            </w:r>
          </w:p>
        </w:tc>
      </w:tr>
      <w:tr>
        <w:trPr>
          <w:trHeight w:val="27"/>
        </w:trPr>
        <w:tc>
          <w:tcPr>
            <w:tcW w:w="75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r>
      <w:tr>
        <w:trPr>
          <w:trHeight w:val="288"/>
        </w:trPr>
        <w:tc>
          <w:tcPr>
            <w:tcW w:w="7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Outstanding as of March 31, 2026</w:t>
            </w:r>
          </w:p>
        </w:tc>
        <w:tc>
          <w:tcPr>
            <w:tcW w:w="13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w w:val="93"/>
              </w:rPr>
              <w:t>9,280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010101"/>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63.96</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both"/>
        <w:ind w:firstLine="518"/>
        <w:spacing w:after="0" w:line="297" w:lineRule="auto"/>
        <w:rPr>
          <w:sz w:val="20"/>
          <w:szCs w:val="20"/>
          <w:color w:val="auto"/>
        </w:rPr>
      </w:pPr>
      <w:r>
        <w:rPr>
          <w:rFonts w:ascii="Times New Roman" w:cs="Times New Roman" w:eastAsia="Times New Roman" w:hAnsi="Times New Roman"/>
          <w:sz w:val="18"/>
          <w:szCs w:val="18"/>
          <w:color w:val="auto"/>
        </w:rPr>
        <w:t>As of March 31, 2026, there was $457.6 million of unrecognized stock-based compensation expense related to unvested RSUs, which is expected to be recognized over a weighted-average period of 1.9 years.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Performance Stock Units (“PSUs”)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PSU activity under the 2024 Plan is as follows (in thousands, except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148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010101"/>
                <w:w w:val="98"/>
              </w:rPr>
              <w:t>Number of</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010101"/>
                <w:w w:val="97"/>
              </w:rPr>
              <w:t>Weighted</w:t>
            </w:r>
          </w:p>
        </w:tc>
      </w:tr>
      <w:tr>
        <w:trPr>
          <w:trHeight w:val="176"/>
        </w:trPr>
        <w:tc>
          <w:tcPr>
            <w:tcW w:w="7560" w:type="dxa"/>
            <w:vAlign w:val="bottom"/>
          </w:tcPr>
          <w:p>
            <w:pPr>
              <w:spacing w:after="0"/>
              <w:rPr>
                <w:sz w:val="15"/>
                <w:szCs w:val="15"/>
                <w:color w:val="auto"/>
              </w:rPr>
            </w:pPr>
          </w:p>
        </w:tc>
        <w:tc>
          <w:tcPr>
            <w:tcW w:w="148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010101"/>
                <w:w w:val="99"/>
              </w:rPr>
              <w:t>Performance Stock</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010101"/>
                <w:w w:val="97"/>
              </w:rPr>
              <w:t>Average Grant</w:t>
            </w:r>
          </w:p>
        </w:tc>
      </w:tr>
      <w:tr>
        <w:trPr>
          <w:trHeight w:val="190"/>
        </w:trPr>
        <w:tc>
          <w:tcPr>
            <w:tcW w:w="7560" w:type="dxa"/>
            <w:vAlign w:val="bottom"/>
          </w:tcPr>
          <w:p>
            <w:pPr>
              <w:spacing w:after="0"/>
              <w:rPr>
                <w:sz w:val="16"/>
                <w:szCs w:val="16"/>
                <w:color w:val="auto"/>
              </w:rPr>
            </w:pPr>
          </w:p>
        </w:tc>
        <w:tc>
          <w:tcPr>
            <w:tcW w:w="148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010101"/>
              </w:rPr>
              <w:t>Units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010101"/>
                <w:w w:val="96"/>
              </w:rPr>
              <w:t>Date Fair Value</w:t>
            </w:r>
          </w:p>
        </w:tc>
      </w:tr>
      <w:tr>
        <w:trPr>
          <w:trHeight w:val="37"/>
        </w:trPr>
        <w:tc>
          <w:tcPr>
            <w:tcW w:w="756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43"/>
        </w:trPr>
        <w:tc>
          <w:tcPr>
            <w:tcW w:w="7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Outstanding as of December 31, 2025</w:t>
            </w:r>
          </w:p>
        </w:tc>
        <w:tc>
          <w:tcPr>
            <w:tcW w:w="1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177</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010101"/>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126.64</w:t>
            </w:r>
          </w:p>
        </w:tc>
      </w:tr>
      <w:tr>
        <w:trPr>
          <w:trHeight w:val="243"/>
        </w:trPr>
        <w:tc>
          <w:tcPr>
            <w:tcW w:w="9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206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150.74</w:t>
            </w:r>
          </w:p>
        </w:tc>
      </w:tr>
      <w:tr>
        <w:trPr>
          <w:trHeight w:val="27"/>
        </w:trPr>
        <w:tc>
          <w:tcPr>
            <w:tcW w:w="7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Vested</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w:t>
            </w:r>
          </w:p>
        </w:tc>
      </w:tr>
      <w:tr>
        <w:trPr>
          <w:trHeight w:val="243"/>
        </w:trPr>
        <w:tc>
          <w:tcPr>
            <w:tcW w:w="9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Cancelled and forfeited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w:t>
            </w:r>
          </w:p>
        </w:tc>
      </w:tr>
      <w:tr>
        <w:trPr>
          <w:trHeight w:val="27"/>
        </w:trPr>
        <w:tc>
          <w:tcPr>
            <w:tcW w:w="75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r>
      <w:tr>
        <w:trPr>
          <w:trHeight w:val="288"/>
        </w:trPr>
        <w:tc>
          <w:tcPr>
            <w:tcW w:w="7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Outstanding as of March 31, 2026</w:t>
            </w:r>
          </w:p>
        </w:tc>
        <w:tc>
          <w:tcPr>
            <w:tcW w:w="14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383</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010101"/>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139.58</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March 31, 2026, there was $43.1 million of unrecognized stock-based compensation expense related to these PSUs, which is expected to be recognized over a weighted-average period of 2.4 years.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Income per Common Share</w:t>
      </w:r>
    </w:p>
    <w:p>
      <w:pPr>
        <w:spacing w:after="0" w:line="229"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attributable to the Company’s common stockholders (in thousands, except per share data):</w:t>
      </w:r>
    </w:p>
    <w:p>
      <w:pPr>
        <w:spacing w:after="0" w:line="101" w:lineRule="exact"/>
        <w:rPr>
          <w:sz w:val="20"/>
          <w:szCs w:val="20"/>
          <w:color w:val="auto"/>
        </w:rPr>
      </w:pPr>
    </w:p>
    <w:p>
      <w:pPr>
        <w:jc w:val="center"/>
        <w:ind w:left="89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9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33020</wp:posOffset>
            </wp:positionV>
            <wp:extent cx="1448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9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43"/>
        </w:trPr>
        <w:tc>
          <w:tcPr>
            <w:tcW w:w="8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31,819</w:t>
            </w:r>
          </w:p>
        </w:tc>
      </w:tr>
      <w:tr>
        <w:trPr>
          <w:trHeight w:val="257"/>
        </w:trPr>
        <w:tc>
          <w:tcPr>
            <w:tcW w:w="8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0"/>
        </w:trPr>
        <w:tc>
          <w:tcPr>
            <w:tcW w:w="8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net income per share computations: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 attributable to common stockholders, basic</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170,726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163,194</w:t>
            </w:r>
          </w:p>
        </w:tc>
      </w:tr>
      <w:tr>
        <w:trPr>
          <w:trHeight w:val="27"/>
        </w:trPr>
        <w:tc>
          <w:tcPr>
            <w:tcW w:w="8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9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Effect of potentially dilutive equivalent shares</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14,922</w:t>
            </w:r>
          </w:p>
        </w:tc>
      </w:tr>
      <w:tr>
        <w:trPr>
          <w:trHeight w:val="236"/>
        </w:trPr>
        <w:tc>
          <w:tcPr>
            <w:tcW w:w="8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 attributable to common stockholders, diluted</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181,157</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178,116</w:t>
            </w:r>
          </w:p>
        </w:tc>
      </w:tr>
      <w:tr>
        <w:trPr>
          <w:trHeight w:val="27"/>
        </w:trPr>
        <w:tc>
          <w:tcPr>
            <w:tcW w:w="8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8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4"/>
        </w:trPr>
        <w:tc>
          <w:tcPr>
            <w:tcW w:w="8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43"/>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 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7"/>
        </w:trPr>
        <w:tc>
          <w:tcPr>
            <w:tcW w:w="8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 diluted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7"/>
        </w:trPr>
        <w:tc>
          <w:tcPr>
            <w:tcW w:w="89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Potentially dilutive securities include dilutive common stock from assumed exercise of stock options, RSUs, Warrants, and Employee Stock Purchase Plan shares using the treasury stock method. Under the treasury stock method, potential shares outstanding are not included in the computation of diluted net income per share if their effect is anti-dilutive. Anti-dilutive potential shares are as follows (in thousands):</w:t>
      </w:r>
    </w:p>
    <w:p>
      <w:pPr>
        <w:sectPr>
          <w:pgSz w:w="11900" w:h="16838" w:orient="portrait"/>
          <w:cols w:equalWidth="0" w:num="1">
            <w:col w:w="11240"/>
          </w:cols>
          <w:pgMar w:left="320" w:top="2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39370</wp:posOffset>
            </wp:positionV>
            <wp:extent cx="1482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58" w:lineRule="exact"/>
        <w:rPr>
          <w:sz w:val="20"/>
          <w:szCs w:val="20"/>
          <w:color w:val="auto"/>
        </w:rPr>
      </w:pPr>
    </w:p>
    <w:p>
      <w:pPr>
        <w:ind w:left="9320"/>
        <w:spacing w:after="0"/>
        <w:tabs>
          <w:tab w:leader="none" w:pos="1052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7"/>
        </w:trPr>
        <w:tc>
          <w:tcPr>
            <w:tcW w:w="89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The Company's income tax benefit recognized for the three months ended March 31, 2026 and 2025 is as follows (in thousands, except percentages):</w:t>
      </w:r>
    </w:p>
    <w:p>
      <w:pPr>
        <w:spacing w:after="0" w:line="101"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33020</wp:posOffset>
            </wp:positionV>
            <wp:extent cx="16459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6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4"/>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(6,896)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(10,102)</w:t>
            </w:r>
          </w:p>
        </w:tc>
      </w:tr>
      <w:tr>
        <w:trPr>
          <w:trHeight w:val="24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bl>
    <w:p>
      <w:pPr>
        <w:spacing w:after="0" w:line="211"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On July 4, 2025, the One Big Beautiful Bill Act (the "Act") was signed into law. The legislation includes a broad range of tax reform provisions affecting businesses including, but not limited to, the reinstatement of 100% bonus depreciation, immediate expensing of domestic research and development costs, and revisions to the U.S. taxation of profits derived from international operations. The legislation has multiple effective dates, with certain provisions were effective in 2025 and others becoming effective through 2027. The Company has assessed the effects of the new tax legislation, including immediate expensing of domestic research and development expenditures and revisions to foreign-derived intangible income provision for the calendar year, and the results have been reflected in its condensed consolidated financial statements for the three months ended March 31, 2026.</w:t>
      </w:r>
    </w:p>
    <w:p>
      <w:pPr>
        <w:spacing w:after="0" w:line="187"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18"/>
          <w:szCs w:val="18"/>
          <w:color w:val="auto"/>
        </w:rPr>
        <w:t>The Company accrues for income taxes during interim periods based on the estimated effective tax rate for the year. The effective tax rate for the three months ended March 31, 2026 is different than the statutory federal tax rate primarily due to the valuation allowance in the United States and the excess tax benefits related to equity compensation, foreign derived intangible income deduction and U.S. research and development credits, which results in current tax benefits. The determination of the realizability of deferred tax assets requires significant judgment in assessing if there is sufficient positive evidence to support a conclusion that it is more likely than not the deferred tax assets will be realized. If the Company continues to achieve positive operating results, it may release the valuation allowance associated with its U.S. deferred tax assets in future periods. A release of all, or a portion, of the valuation allowance would result in the recognition of certain deferred tax assets and may result in a material decrease to income tax expense for the period the release is recorded.</w:t>
      </w:r>
    </w:p>
    <w:p>
      <w:pPr>
        <w:spacing w:after="0" w:line="192"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three months ended March 31, 2025 is different than the statutory federal tax rate primarily due to the valuation allowance in the United States and the excess tax benefits related to equity compensation, foreign derived intangible income deduction and U.S. research and development credits, which results in current tax benefit. This is offset by the current tax expense from the capitalization of research and development expenditures under Section 174 of the Internal Revenue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i w:val="1"/>
          <w:iCs w:val="1"/>
          <w:color w:val="231F20"/>
        </w:rPr>
        <w:t xml:space="preserve">The following discussion and analysis of our financial condition and results of operations should be read in conjunction with the unaudited condensed consolidated financial statements and related notes included </w:t>
      </w:r>
      <w:r>
        <w:rPr>
          <w:rFonts w:ascii="Times New Roman" w:cs="Times New Roman" w:eastAsia="Times New Roman" w:hAnsi="Times New Roman"/>
          <w:sz w:val="18"/>
          <w:szCs w:val="18"/>
          <w:i w:val="1"/>
          <w:iCs w:val="1"/>
          <w:color w:val="000000"/>
        </w:rPr>
        <w:t>elsewhere in this Quarterly Report on Form 10-Q and the audited consolidated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i w:val="1"/>
          <w:iCs w:val="1"/>
          <w:color w:val="000000"/>
        </w:rPr>
        <w:t>financial statements and notes thereto and management’s discussion and analysis of financial condition and results of operations for the year ended December 31, 2025 included in our Annual Report on Form 10-K filed with the SEC on February 20, 2026. As discussed in the section titled “Special Note about Forward-Looking Statements,” this discussion contains forward-looking statements that involve risks and uncertainties. Our actual results could differ materially from those discussed in these forward-looking statements. Factors that could cause or contribute to such differences include, but are not limited to, those identified below and those discussed in the section titled “Risk Factors” and included elsewhere in this Quarterly Report on Form 10-Q and Annual Report on Form 10-K filed with the SEC on February 20, 2026.</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229"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231F20"/>
        </w:rPr>
        <w:t>Our mission is to innovate, design, and deliver semiconductor-based connectivity solutions that are purpose-built to unleash the full potential of cloud and AI infrastructure.</w:t>
      </w:r>
    </w:p>
    <w:p>
      <w:pPr>
        <w:spacing w:after="0" w:line="162"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231F20"/>
        </w:rPr>
        <w:t xml:space="preserve">Building on years of experience with a singular focus on addressing connectivity challenges in data-centric systems, we have developed and deployed our Intelligent Connectivity Platform built from the ground up for cloud and AI infrastructure. Our Intelligent Connectivity Platform is comprised of semiconductor-based, high-speed, mixed-signal connectivity products that integrate a matrix of microcontrollers and sensors, and </w:t>
      </w:r>
      <w:r>
        <w:rPr>
          <w:rFonts w:ascii="Times New Roman" w:cs="Times New Roman" w:eastAsia="Times New Roman" w:hAnsi="Times New Roman"/>
          <w:sz w:val="18"/>
          <w:szCs w:val="18"/>
          <w:color w:val="000000"/>
        </w:rPr>
        <w:t>COSMOS,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our software suite, which is embedded in our connectivity products and integrated into our customers’ systems.</w:t>
      </w:r>
    </w:p>
    <w:p>
      <w:pPr>
        <w:spacing w:after="0" w:line="180"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231F20"/>
        </w:rPr>
        <w:t>Our Intelligent Connectivity Platform provides our customers with the ability to deploy and operate high-performance cloud and AI infrastructure at scale, addressing an increasingly diverse set of requirements. We provide our connectivity products in various form factors, including Integrated Circuits (“ICs”), boards, and modules.</w:t>
      </w:r>
    </w:p>
    <w:p>
      <w:pPr>
        <w:spacing w:after="0" w:line="176"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231F20"/>
        </w:rPr>
        <w:t>Our patented software-defined platform approach delivers critical connectivity performance, enables flexibility and customization, and supports observability and predictive analytics. This approach is designed to efficiently address the data, network, and memory bottlenecks, scalability, and other unique infrastructure requirements of our hyperscaler and system OEM customers.</w:t>
      </w:r>
    </w:p>
    <w:p>
      <w:pPr>
        <w:spacing w:after="0" w:line="176" w:lineRule="exact"/>
        <w:rPr>
          <w:sz w:val="20"/>
          <w:szCs w:val="20"/>
          <w:color w:val="auto"/>
        </w:rPr>
      </w:pPr>
    </w:p>
    <w:p>
      <w:pPr>
        <w:jc w:val="both"/>
        <w:ind w:firstLine="518"/>
        <w:spacing w:after="0" w:line="263" w:lineRule="auto"/>
        <w:rPr>
          <w:sz w:val="20"/>
          <w:szCs w:val="20"/>
          <w:color w:val="auto"/>
        </w:rPr>
      </w:pPr>
      <w:r>
        <w:rPr>
          <w:rFonts w:ascii="Times New Roman" w:cs="Times New Roman" w:eastAsia="Times New Roman" w:hAnsi="Times New Roman"/>
          <w:sz w:val="18"/>
          <w:szCs w:val="18"/>
          <w:color w:val="231F20"/>
        </w:rPr>
        <w:t>Based on trusted relationships with the leading hyperscalers and collaboration with data center infrastructure suppliers, our platform is designed to meet our customers’ unique cloud scale requirements. Our COSMOS software suite is foundational to our Intelligent Connectivity Platform and is designed to enable our customers to seamlessly configure, manage, monitor, optimize, troubleshoot, and customize functions in our IC, board, and module products.</w:t>
      </w:r>
    </w:p>
    <w:p>
      <w:pPr>
        <w:spacing w:after="0" w:line="400" w:lineRule="exact"/>
        <w:rPr>
          <w:sz w:val="20"/>
          <w:szCs w:val="20"/>
          <w:color w:val="auto"/>
        </w:rPr>
      </w:pPr>
    </w:p>
    <w:p>
      <w:pPr>
        <w:jc w:val="both"/>
        <w:ind w:firstLine="518"/>
        <w:spacing w:after="0" w:line="234" w:lineRule="auto"/>
        <w:rPr>
          <w:sz w:val="20"/>
          <w:szCs w:val="20"/>
          <w:color w:val="auto"/>
        </w:rPr>
      </w:pPr>
      <w:r>
        <w:rPr>
          <w:rFonts w:ascii="Times New Roman" w:cs="Times New Roman" w:eastAsia="Times New Roman" w:hAnsi="Times New Roman"/>
          <w:sz w:val="18"/>
          <w:szCs w:val="18"/>
          <w:color w:val="231F20"/>
        </w:rPr>
        <w:t>Today, our connectivity solutions are at the heart of major AI platforms deployed worldwide featuring both commercially available Graphic Processing Units (“GPUs”) and proprietary AI accelerators. We offer our customers four product families across multiple form factors including ICs, boards, and modules, shipping millions of devices across leading hyperscalers. Our products, which include Aries PCIe</w:t>
      </w:r>
      <w:r>
        <w:rPr>
          <w:rFonts w:ascii="Times New Roman" w:cs="Times New Roman" w:eastAsia="Times New Roman" w:hAnsi="Times New Roman"/>
          <w:sz w:val="23"/>
          <w:szCs w:val="23"/>
          <w:color w:val="231F20"/>
          <w:vertAlign w:val="superscript"/>
        </w:rPr>
        <w:t>®</w:t>
      </w:r>
      <w:r>
        <w:rPr>
          <w:rFonts w:ascii="Times New Roman" w:cs="Times New Roman" w:eastAsia="Times New Roman" w:hAnsi="Times New Roman"/>
          <w:sz w:val="18"/>
          <w:szCs w:val="18"/>
          <w:color w:val="231F20"/>
        </w:rPr>
        <w:t>/CXL</w:t>
      </w:r>
      <w:r>
        <w:rPr>
          <w:rFonts w:ascii="Times New Roman" w:cs="Times New Roman" w:eastAsia="Times New Roman" w:hAnsi="Times New Roman"/>
          <w:sz w:val="23"/>
          <w:szCs w:val="23"/>
          <w:color w:val="231F20"/>
          <w:vertAlign w:val="superscript"/>
        </w:rPr>
        <w:t>®</w:t>
      </w:r>
      <w:r>
        <w:rPr>
          <w:rFonts w:ascii="Times New Roman" w:cs="Times New Roman" w:eastAsia="Times New Roman" w:hAnsi="Times New Roman"/>
          <w:sz w:val="18"/>
          <w:szCs w:val="18"/>
          <w:color w:val="231F20"/>
        </w:rPr>
        <w:t xml:space="preserve"> Smart DSP Retimers, </w:t>
      </w:r>
      <w:r>
        <w:rPr>
          <w:rFonts w:ascii="Times New Roman" w:cs="Times New Roman" w:eastAsia="Times New Roman" w:hAnsi="Times New Roman"/>
          <w:sz w:val="18"/>
          <w:szCs w:val="18"/>
          <w:color w:val="000000"/>
        </w:rPr>
        <w:t xml:space="preserve">Aries PCIe®/CXL® Smart Cable Modules™, </w:t>
      </w:r>
      <w:r>
        <w:rPr>
          <w:rFonts w:ascii="Times New Roman" w:cs="Times New Roman" w:eastAsia="Times New Roman" w:hAnsi="Times New Roman"/>
          <w:sz w:val="18"/>
          <w:szCs w:val="18"/>
          <w:color w:val="231F20"/>
        </w:rPr>
        <w:t>Taurus Ethernet Smart Cable Modules</w:t>
      </w:r>
      <w:r>
        <w:rPr>
          <w:rFonts w:ascii="Times New Roman" w:cs="Times New Roman" w:eastAsia="Times New Roman" w:hAnsi="Times New Roman"/>
          <w:sz w:val="23"/>
          <w:szCs w:val="23"/>
          <w:color w:val="231F20"/>
          <w:vertAlign w:val="superscript"/>
        </w:rPr>
        <w:t>™</w:t>
      </w:r>
      <w:r>
        <w:rPr>
          <w:rFonts w:ascii="Times New Roman" w:cs="Times New Roman" w:eastAsia="Times New Roman" w:hAnsi="Times New Roman"/>
          <w:sz w:val="18"/>
          <w:szCs w:val="18"/>
          <w:color w:val="231F20"/>
        </w:rPr>
        <w:t>, Leo CXL Memory Connectivity Controllers, and Scorpio Smart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Fabric Switches, are built upon industry standard connectivity protocols such as Peripheral Component Interconnect Express (“PCIe”), Ethernet, and Compute Express Link (“CXL”), to address the growing demand for purpose-built connectivity solutions that solve critical data, network, and memory bottlenecks inherent in cloud and AI infrastructure.</w:t>
      </w:r>
    </w:p>
    <w:p>
      <w:pPr>
        <w:spacing w:after="0" w:line="203"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231F20"/>
        </w:rPr>
        <w:t xml:space="preserve">Since our inception, we have created and commercialized first-to-market PCIe, Ethernet, and CXL products. We have become a trusted partner and a proven supplier to our hyperscaler and system OEM customers. We have experienced strong growth since the commercial launch of Aries in 2020. Our revenue grew from $34.8 million in 2021, $79.9 million in 2022, $115.8 million in 2023, $396.3 million in 2024, and to $852.5 million in 2025. Our revenue was </w:t>
      </w:r>
      <w:r>
        <w:rPr>
          <w:rFonts w:ascii="Times New Roman" w:cs="Times New Roman" w:eastAsia="Times New Roman" w:hAnsi="Times New Roman"/>
          <w:sz w:val="18"/>
          <w:szCs w:val="18"/>
          <w:color w:val="000000"/>
        </w:rPr>
        <w:t>$308.4 million for the three months ended</w:t>
      </w:r>
      <w:r>
        <w:rPr>
          <w:rFonts w:ascii="Times New Roman" w:cs="Times New Roman" w:eastAsia="Times New Roman" w:hAnsi="Times New Roman"/>
          <w:sz w:val="18"/>
          <w:szCs w:val="18"/>
          <w:color w:val="231F20"/>
        </w:rPr>
        <w:t xml:space="preserve"> March 31, 2026, driven by a sizable increase in demand for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Summary of Financial Highlights</w:t>
      </w:r>
    </w:p>
    <w:p>
      <w:pPr>
        <w:spacing w:after="0" w:line="256"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 xml:space="preserve">Our revenue was $308.4 million for the three months ended </w:t>
      </w:r>
      <w:r>
        <w:rPr>
          <w:rFonts w:ascii="Times New Roman" w:cs="Times New Roman" w:eastAsia="Times New Roman" w:hAnsi="Times New Roman"/>
          <w:sz w:val="18"/>
          <w:szCs w:val="18"/>
          <w:color w:val="231F20"/>
        </w:rPr>
        <w:t>March 31, 2026, c</w:t>
      </w:r>
      <w:r>
        <w:rPr>
          <w:rFonts w:ascii="Times New Roman" w:cs="Times New Roman" w:eastAsia="Times New Roman" w:hAnsi="Times New Roman"/>
          <w:sz w:val="18"/>
          <w:szCs w:val="18"/>
          <w:color w:val="auto"/>
        </w:rPr>
        <w:t xml:space="preserve">ompared to $159.4 million for </w:t>
      </w:r>
      <w:r>
        <w:rPr>
          <w:rFonts w:ascii="Times New Roman" w:cs="Times New Roman" w:eastAsia="Times New Roman" w:hAnsi="Times New Roman"/>
          <w:sz w:val="18"/>
          <w:szCs w:val="18"/>
          <w:color w:val="231F20"/>
        </w:rPr>
        <w:t>the same period in 2025, representing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an increase of </w:t>
      </w:r>
      <w:r>
        <w:rPr>
          <w:rFonts w:ascii="Times New Roman" w:cs="Times New Roman" w:eastAsia="Times New Roman" w:hAnsi="Times New Roman"/>
          <w:sz w:val="18"/>
          <w:szCs w:val="18"/>
          <w:color w:val="000000"/>
        </w:rPr>
        <w:t>93% year over year.</w:t>
      </w:r>
    </w:p>
    <w:p>
      <w:pPr>
        <w:spacing w:after="0" w:line="162"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231F20"/>
        </w:rPr>
        <w:t xml:space="preserve">Gross margin </w:t>
      </w:r>
      <w:r>
        <w:rPr>
          <w:rFonts w:ascii="Times New Roman" w:cs="Times New Roman" w:eastAsia="Times New Roman" w:hAnsi="Times New Roman"/>
          <w:sz w:val="18"/>
          <w:szCs w:val="18"/>
          <w:color w:val="000000"/>
        </w:rPr>
        <w:t>increased by 136 basis points (“bps”)</w:t>
      </w:r>
      <w:r>
        <w:rPr>
          <w:rFonts w:ascii="Times New Roman" w:cs="Times New Roman" w:eastAsia="Times New Roman" w:hAnsi="Times New Roman"/>
          <w:sz w:val="18"/>
          <w:szCs w:val="18"/>
          <w:color w:val="231F20"/>
        </w:rPr>
        <w:t xml:space="preserve"> to </w:t>
      </w:r>
      <w:r>
        <w:rPr>
          <w:rFonts w:ascii="Times New Roman" w:cs="Times New Roman" w:eastAsia="Times New Roman" w:hAnsi="Times New Roman"/>
          <w:sz w:val="18"/>
          <w:szCs w:val="18"/>
          <w:color w:val="000000"/>
        </w:rPr>
        <w:t>76.3%</w:t>
      </w:r>
      <w:r>
        <w:rPr>
          <w:rFonts w:ascii="Times New Roman" w:cs="Times New Roman" w:eastAsia="Times New Roman" w:hAnsi="Times New Roman"/>
          <w:sz w:val="18"/>
          <w:szCs w:val="18"/>
          <w:color w:val="231F20"/>
        </w:rPr>
        <w:t xml:space="preserve"> for the three months ended </w:t>
      </w:r>
      <w:r>
        <w:rPr>
          <w:rFonts w:ascii="Times New Roman" w:cs="Times New Roman" w:eastAsia="Times New Roman" w:hAnsi="Times New Roman"/>
          <w:sz w:val="18"/>
          <w:szCs w:val="18"/>
          <w:color w:val="000000"/>
        </w:rPr>
        <w:t>March 31, 2026, compared to 74.9%</w:t>
      </w:r>
      <w:r>
        <w:rPr>
          <w:rFonts w:ascii="Times New Roman" w:cs="Times New Roman" w:eastAsia="Times New Roman" w:hAnsi="Times New Roman"/>
          <w:sz w:val="18"/>
          <w:szCs w:val="18"/>
          <w:color w:val="231F20"/>
        </w:rPr>
        <w:t xml:space="preserve"> for the same period in 2025.</w:t>
      </w:r>
    </w:p>
    <w:p>
      <w:pPr>
        <w:spacing w:after="0" w:line="189"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 xml:space="preserve">Operating income was $61.8 million for the three months ended </w:t>
      </w:r>
      <w:r>
        <w:rPr>
          <w:rFonts w:ascii="Times New Roman" w:cs="Times New Roman" w:eastAsia="Times New Roman" w:hAnsi="Times New Roman"/>
          <w:sz w:val="18"/>
          <w:szCs w:val="18"/>
          <w:color w:val="231F20"/>
        </w:rPr>
        <w:t>March 31, 2026, compared to</w:t>
      </w:r>
      <w:r>
        <w:rPr>
          <w:rFonts w:ascii="Times New Roman" w:cs="Times New Roman" w:eastAsia="Times New Roman" w:hAnsi="Times New Roman"/>
          <w:sz w:val="18"/>
          <w:szCs w:val="18"/>
          <w:color w:val="auto"/>
        </w:rPr>
        <w:t xml:space="preserve"> $11.3 million for the same period in 2025, representing an increase of 448% year over year.</w:t>
      </w:r>
    </w:p>
    <w:p>
      <w:pPr>
        <w:spacing w:after="0" w:line="162" w:lineRule="exact"/>
        <w:rPr>
          <w:sz w:val="20"/>
          <w:szCs w:val="20"/>
          <w:color w:val="auto"/>
        </w:rPr>
      </w:pPr>
    </w:p>
    <w:p>
      <w:pPr>
        <w:ind w:right="160" w:firstLine="518"/>
        <w:spacing w:after="0" w:line="329" w:lineRule="auto"/>
        <w:rPr>
          <w:sz w:val="20"/>
          <w:szCs w:val="20"/>
          <w:color w:val="auto"/>
        </w:rPr>
      </w:pPr>
      <w:r>
        <w:rPr>
          <w:rFonts w:ascii="Times New Roman" w:cs="Times New Roman" w:eastAsia="Times New Roman" w:hAnsi="Times New Roman"/>
          <w:sz w:val="18"/>
          <w:szCs w:val="18"/>
          <w:color w:val="auto"/>
        </w:rPr>
        <w:t xml:space="preserve">Net income was $80.3 million for the three months ended </w:t>
      </w:r>
      <w:r>
        <w:rPr>
          <w:rFonts w:ascii="Times New Roman" w:cs="Times New Roman" w:eastAsia="Times New Roman" w:hAnsi="Times New Roman"/>
          <w:sz w:val="18"/>
          <w:szCs w:val="18"/>
          <w:color w:val="231F20"/>
        </w:rPr>
        <w:t>March 31, 2026, compared to</w:t>
      </w:r>
      <w:r>
        <w:rPr>
          <w:rFonts w:ascii="Times New Roman" w:cs="Times New Roman" w:eastAsia="Times New Roman" w:hAnsi="Times New Roman"/>
          <w:sz w:val="18"/>
          <w:szCs w:val="18"/>
          <w:color w:val="auto"/>
        </w:rPr>
        <w:t xml:space="preserve"> $31.8 million </w:t>
      </w:r>
      <w:r>
        <w:rPr>
          <w:rFonts w:ascii="Times New Roman" w:cs="Times New Roman" w:eastAsia="Times New Roman" w:hAnsi="Times New Roman"/>
          <w:sz w:val="18"/>
          <w:szCs w:val="18"/>
          <w:color w:val="231F20"/>
        </w:rPr>
        <w:t>for the same period in 2025,</w:t>
      </w:r>
      <w:r>
        <w:rPr>
          <w:rFonts w:ascii="Times New Roman" w:cs="Times New Roman" w:eastAsia="Times New Roman" w:hAnsi="Times New Roman"/>
          <w:sz w:val="18"/>
          <w:szCs w:val="18"/>
          <w:color w:val="auto"/>
        </w:rPr>
        <w:t xml:space="preserve"> representing an increase of 152% year over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Comparison of the Three Months Ended March 31, 2026 and 2025</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31F20"/>
        </w:rPr>
        <w:t>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0"/>
        </w:trPr>
        <w:tc>
          <w:tcPr>
            <w:tcW w:w="6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spacing w:after="0"/>
              <w:rPr>
                <w:sz w:val="16"/>
                <w:szCs w:val="16"/>
                <w:color w:val="auto"/>
              </w:rPr>
            </w:pPr>
          </w:p>
        </w:tc>
      </w:tr>
      <w:tr>
        <w:trPr>
          <w:trHeight w:val="37"/>
        </w:trPr>
        <w:tc>
          <w:tcPr>
            <w:tcW w:w="68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6"/>
        </w:trPr>
        <w:tc>
          <w:tcPr>
            <w:tcW w:w="6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231F20"/>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100" w:type="dxa"/>
            <w:vAlign w:val="bottom"/>
          </w:tcPr>
          <w:p>
            <w:pPr>
              <w:spacing w:after="0"/>
              <w:rPr>
                <w:sz w:val="16"/>
                <w:szCs w:val="16"/>
                <w:color w:val="auto"/>
              </w:rPr>
            </w:pPr>
          </w:p>
        </w:tc>
        <w:tc>
          <w:tcPr>
            <w:tcW w:w="13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7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231F20"/>
              </w:rPr>
              <w:t>%</w:t>
            </w:r>
          </w:p>
        </w:tc>
      </w:tr>
      <w:tr>
        <w:trPr>
          <w:trHeight w:val="37"/>
        </w:trPr>
        <w:tc>
          <w:tcPr>
            <w:tcW w:w="68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27"/>
        </w:trPr>
        <w:tc>
          <w:tcPr>
            <w:tcW w:w="6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4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00" w:type="dxa"/>
            <w:vAlign w:val="bottom"/>
          </w:tcPr>
          <w:p>
            <w:pPr>
              <w:spacing w:after="0"/>
              <w:rPr>
                <w:sz w:val="19"/>
                <w:szCs w:val="19"/>
                <w:color w:val="auto"/>
              </w:rPr>
            </w:pPr>
          </w:p>
        </w:tc>
      </w:tr>
      <w:tr>
        <w:trPr>
          <w:trHeight w:val="37"/>
        </w:trPr>
        <w:tc>
          <w:tcPr>
            <w:tcW w:w="6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4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308,361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159,442</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231F20"/>
              </w:rPr>
              <w:t>$  148,919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93 %</w:t>
            </w:r>
          </w:p>
        </w:tc>
      </w:tr>
      <w:tr>
        <w:trPr>
          <w:trHeight w:val="27"/>
        </w:trPr>
        <w:tc>
          <w:tcPr>
            <w:tcW w:w="6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231F20"/>
        </w:rPr>
        <w:t xml:space="preserve">Total revenue </w:t>
      </w:r>
      <w:r>
        <w:rPr>
          <w:rFonts w:ascii="Times New Roman" w:cs="Times New Roman" w:eastAsia="Times New Roman" w:hAnsi="Times New Roman"/>
          <w:sz w:val="18"/>
          <w:szCs w:val="18"/>
          <w:color w:val="000000"/>
        </w:rPr>
        <w:t>increased $148.9 million</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color w:val="000000"/>
        </w:rPr>
        <w:t>93%,</w:t>
      </w:r>
      <w:r>
        <w:rPr>
          <w:rFonts w:ascii="Times New Roman" w:cs="Times New Roman" w:eastAsia="Times New Roman" w:hAnsi="Times New Roman"/>
          <w:sz w:val="18"/>
          <w:szCs w:val="18"/>
          <w:color w:val="231F20"/>
        </w:rPr>
        <w:t xml:space="preserve"> for the three months ended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31F20"/>
        </w:rPr>
        <w:t xml:space="preserve"> compared to the same period in 2025, primarily due to an increase in overall unit shipments driven by higher demand for our </w:t>
      </w:r>
      <w:r>
        <w:rPr>
          <w:rFonts w:ascii="Times New Roman" w:cs="Times New Roman" w:eastAsia="Times New Roman" w:hAnsi="Times New Roman"/>
          <w:sz w:val="18"/>
          <w:szCs w:val="18"/>
          <w:color w:val="000000"/>
        </w:rPr>
        <w:t>Scorpio, Aries, and Taurus</w:t>
      </w:r>
      <w:r>
        <w:rPr>
          <w:rFonts w:ascii="Times New Roman" w:cs="Times New Roman" w:eastAsia="Times New Roman" w:hAnsi="Times New Roman"/>
          <w:sz w:val="18"/>
          <w:szCs w:val="18"/>
          <w:color w:val="231F20"/>
        </w:rPr>
        <w:t xml:space="preserve"> products, as well as higher overall average selling prices resulting from an increased mix of hardware modules </w:t>
      </w:r>
      <w:r>
        <w:rPr>
          <w:rFonts w:ascii="Times New Roman" w:cs="Times New Roman" w:eastAsia="Times New Roman" w:hAnsi="Times New Roman"/>
          <w:sz w:val="18"/>
          <w:szCs w:val="18"/>
          <w:color w:val="000000"/>
        </w:rPr>
        <w:t>and Scorpio products</w:t>
      </w:r>
      <w:r>
        <w:rPr>
          <w:rFonts w:ascii="Times New Roman" w:cs="Times New Roman" w:eastAsia="Times New Roman" w:hAnsi="Times New Roman"/>
          <w:sz w:val="18"/>
          <w:szCs w:val="18"/>
          <w:color w:val="231F20"/>
        </w:rPr>
        <w: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31F20"/>
        </w:rPr>
        <w:t>Cost of Revenue, Gross Profit, and Gross Margin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04"/>
        </w:trPr>
        <w:tc>
          <w:tcPr>
            <w:tcW w:w="6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4"/>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7"/>
                <w:szCs w:val="17"/>
                <w:color w:val="auto"/>
              </w:rPr>
            </w:pPr>
          </w:p>
        </w:tc>
      </w:tr>
      <w:tr>
        <w:trPr>
          <w:trHeight w:val="37"/>
        </w:trPr>
        <w:tc>
          <w:tcPr>
            <w:tcW w:w="66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3"/>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231F20"/>
              </w:rPr>
              <w:t>2026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6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231F20"/>
              </w:rPr>
              <w:t>%</w:t>
            </w:r>
          </w:p>
        </w:tc>
      </w:tr>
      <w:tr>
        <w:trPr>
          <w:trHeight w:val="37"/>
        </w:trPr>
        <w:tc>
          <w:tcPr>
            <w:tcW w:w="66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27"/>
        </w:trPr>
        <w:tc>
          <w:tcPr>
            <w:tcW w:w="6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96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 and bps)</w:t>
            </w:r>
          </w:p>
        </w:tc>
        <w:tc>
          <w:tcPr>
            <w:tcW w:w="680" w:type="dxa"/>
            <w:vAlign w:val="bottom"/>
          </w:tcPr>
          <w:p>
            <w:pPr>
              <w:spacing w:after="0"/>
              <w:rPr>
                <w:sz w:val="19"/>
                <w:szCs w:val="19"/>
                <w:color w:val="auto"/>
              </w:rPr>
            </w:pPr>
          </w:p>
        </w:tc>
      </w:tr>
      <w:tr>
        <w:trPr>
          <w:trHeight w:val="37"/>
        </w:trPr>
        <w:tc>
          <w:tcPr>
            <w:tcW w:w="6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Cost of revenue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73,220</w:t>
            </w:r>
          </w:p>
        </w:tc>
        <w:tc>
          <w:tcPr>
            <w:tcW w:w="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40,031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33,189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83 %</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Gross profit</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235,141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119,411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115,730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97 %</w:t>
            </w:r>
          </w:p>
        </w:tc>
      </w:tr>
      <w:tr>
        <w:trPr>
          <w:trHeight w:val="27"/>
        </w:trPr>
        <w:tc>
          <w:tcPr>
            <w:tcW w:w="6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Gross margin</w:t>
            </w: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76.3 %</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74.9 %</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136 bps</w:t>
            </w:r>
          </w:p>
        </w:tc>
        <w:tc>
          <w:tcPr>
            <w:tcW w:w="680" w:type="dxa"/>
            <w:vAlign w:val="bottom"/>
            <w:shd w:val="clear" w:color="auto" w:fill="CCEEFF"/>
          </w:tcPr>
          <w:p>
            <w:pPr>
              <w:spacing w:after="0"/>
              <w:rPr>
                <w:sz w:val="21"/>
                <w:szCs w:val="21"/>
                <w:color w:val="auto"/>
              </w:rPr>
            </w:pPr>
          </w:p>
        </w:tc>
      </w:tr>
      <w:tr>
        <w:trPr>
          <w:trHeight w:val="27"/>
        </w:trPr>
        <w:tc>
          <w:tcPr>
            <w:tcW w:w="66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231F20"/>
        </w:rPr>
        <w:t xml:space="preserve">Total cost of revenue </w:t>
      </w:r>
      <w:r>
        <w:rPr>
          <w:rFonts w:ascii="Times New Roman" w:cs="Times New Roman" w:eastAsia="Times New Roman" w:hAnsi="Times New Roman"/>
          <w:sz w:val="18"/>
          <w:szCs w:val="18"/>
          <w:color w:val="000000"/>
        </w:rPr>
        <w:t>increased $33.2 million</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color w:val="000000"/>
        </w:rPr>
        <w:t>83%</w:t>
      </w:r>
      <w:r>
        <w:rPr>
          <w:rFonts w:ascii="Times New Roman" w:cs="Times New Roman" w:eastAsia="Times New Roman" w:hAnsi="Times New Roman"/>
          <w:sz w:val="18"/>
          <w:szCs w:val="18"/>
          <w:color w:val="231F20"/>
        </w:rPr>
        <w:t xml:space="preserve">, for the three months ended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31F20"/>
        </w:rPr>
        <w:t xml:space="preserve"> compared to the same period in 2025, primarily due to higher overall unit shipments and a favorable shift in product mix.</w:t>
      </w:r>
    </w:p>
    <w:p>
      <w:pPr>
        <w:spacing w:after="0" w:line="162"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231F20"/>
        </w:rPr>
        <w:t xml:space="preserve">Gross margin </w:t>
      </w:r>
      <w:r>
        <w:rPr>
          <w:rFonts w:ascii="Times New Roman" w:cs="Times New Roman" w:eastAsia="Times New Roman" w:hAnsi="Times New Roman"/>
          <w:sz w:val="18"/>
          <w:szCs w:val="18"/>
          <w:color w:val="000000"/>
        </w:rPr>
        <w:t>increased 136 bps</w:t>
      </w:r>
      <w:r>
        <w:rPr>
          <w:rFonts w:ascii="Times New Roman" w:cs="Times New Roman" w:eastAsia="Times New Roman" w:hAnsi="Times New Roman"/>
          <w:sz w:val="18"/>
          <w:szCs w:val="18"/>
          <w:color w:val="231F20"/>
        </w:rPr>
        <w:t xml:space="preserve"> to </w:t>
      </w:r>
      <w:r>
        <w:rPr>
          <w:rFonts w:ascii="Times New Roman" w:cs="Times New Roman" w:eastAsia="Times New Roman" w:hAnsi="Times New Roman"/>
          <w:sz w:val="18"/>
          <w:szCs w:val="18"/>
          <w:color w:val="000000"/>
        </w:rPr>
        <w:t>76.3%</w:t>
      </w:r>
      <w:r>
        <w:rPr>
          <w:rFonts w:ascii="Times New Roman" w:cs="Times New Roman" w:eastAsia="Times New Roman" w:hAnsi="Times New Roman"/>
          <w:sz w:val="18"/>
          <w:szCs w:val="18"/>
          <w:color w:val="231F20"/>
        </w:rPr>
        <w:t xml:space="preserve"> for the three months ended </w:t>
      </w:r>
      <w:r>
        <w:rPr>
          <w:rFonts w:ascii="Times New Roman" w:cs="Times New Roman" w:eastAsia="Times New Roman" w:hAnsi="Times New Roman"/>
          <w:sz w:val="18"/>
          <w:szCs w:val="18"/>
          <w:color w:val="000000"/>
        </w:rPr>
        <w:t>March 31, 2026 compared to 74.9%</w:t>
      </w:r>
      <w:r>
        <w:rPr>
          <w:rFonts w:ascii="Times New Roman" w:cs="Times New Roman" w:eastAsia="Times New Roman" w:hAnsi="Times New Roman"/>
          <w:sz w:val="18"/>
          <w:szCs w:val="18"/>
          <w:color w:val="231F20"/>
        </w:rPr>
        <w:t xml:space="preserve"> for the same period in 2025. The increase was primarily driven by a favorable product mix</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31F20"/>
        </w:rPr>
        <w:t>Research and Development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04"/>
        </w:trPr>
        <w:tc>
          <w:tcPr>
            <w:tcW w:w="6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3"/>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7"/>
                <w:szCs w:val="17"/>
                <w:color w:val="auto"/>
              </w:rPr>
            </w:pPr>
          </w:p>
        </w:tc>
      </w:tr>
      <w:tr>
        <w:trPr>
          <w:trHeight w:val="37"/>
        </w:trPr>
        <w:tc>
          <w:tcPr>
            <w:tcW w:w="66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3"/>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231F20"/>
              </w:rPr>
              <w:t>2026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6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231F20"/>
              </w:rPr>
              <w:t>%</w:t>
            </w:r>
          </w:p>
        </w:tc>
      </w:tr>
      <w:tr>
        <w:trPr>
          <w:trHeight w:val="37"/>
        </w:trPr>
        <w:tc>
          <w:tcPr>
            <w:tcW w:w="66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27"/>
        </w:trPr>
        <w:tc>
          <w:tcPr>
            <w:tcW w:w="6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74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80" w:type="dxa"/>
            <w:vAlign w:val="bottom"/>
          </w:tcPr>
          <w:p>
            <w:pPr>
              <w:spacing w:after="0"/>
              <w:rPr>
                <w:sz w:val="19"/>
                <w:szCs w:val="19"/>
                <w:color w:val="auto"/>
              </w:rPr>
            </w:pPr>
          </w:p>
        </w:tc>
      </w:tr>
      <w:tr>
        <w:trPr>
          <w:trHeight w:val="37"/>
        </w:trPr>
        <w:tc>
          <w:tcPr>
            <w:tcW w:w="6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125,634</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64,554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61,080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95 %</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Percentage of revenue</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3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31F20"/>
        </w:rPr>
        <w:t xml:space="preserve">Research and development expense </w:t>
      </w:r>
      <w:r>
        <w:rPr>
          <w:rFonts w:ascii="Times New Roman" w:cs="Times New Roman" w:eastAsia="Times New Roman" w:hAnsi="Times New Roman"/>
          <w:sz w:val="18"/>
          <w:szCs w:val="18"/>
          <w:color w:val="000000"/>
        </w:rPr>
        <w:t>increased $61.1 million</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color w:val="000000"/>
        </w:rPr>
        <w:t>95%</w:t>
      </w:r>
      <w:r>
        <w:rPr>
          <w:rFonts w:ascii="Times New Roman" w:cs="Times New Roman" w:eastAsia="Times New Roman" w:hAnsi="Times New Roman"/>
          <w:sz w:val="18"/>
          <w:szCs w:val="18"/>
          <w:color w:val="231F20"/>
        </w:rPr>
        <w:t xml:space="preserve">, for the three months ended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31F20"/>
        </w:rPr>
        <w:t xml:space="preserve"> compared to the same period in 2025. The </w:t>
      </w:r>
      <w:r>
        <w:rPr>
          <w:rFonts w:ascii="Times New Roman" w:cs="Times New Roman" w:eastAsia="Times New Roman" w:hAnsi="Times New Roman"/>
          <w:sz w:val="18"/>
          <w:szCs w:val="18"/>
          <w:color w:val="000000"/>
        </w:rPr>
        <w:t>increase</w:t>
      </w:r>
      <w:r>
        <w:rPr>
          <w:rFonts w:ascii="Times New Roman" w:cs="Times New Roman" w:eastAsia="Times New Roman" w:hAnsi="Times New Roman"/>
          <w:sz w:val="18"/>
          <w:szCs w:val="18"/>
          <w:color w:val="231F20"/>
        </w:rPr>
        <w:t xml:space="preserve"> was primarily due to a $29.3 million increase in overall spending to support our R&amp;D initiatives, which includes hardware design, software license, and cloud hosting services costs, a $17.1 million increase in personnel-related costs and $10.2 million of non-cash stock-based compensation expenses resulting from a 90% increase in headcount, and $3.1 million increase in other operating costs to support our business expansion.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31F20"/>
        </w:rPr>
        <w:t>Sales and Marketing</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0"/>
        </w:trPr>
        <w:tc>
          <w:tcPr>
            <w:tcW w:w="6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3"/>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231F20"/>
              </w:rPr>
              <w:t>2026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6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231F20"/>
              </w:rPr>
              <w:t>%</w:t>
            </w:r>
          </w:p>
        </w:tc>
      </w:tr>
      <w:tr>
        <w:trPr>
          <w:trHeight w:val="37"/>
        </w:trPr>
        <w:tc>
          <w:tcPr>
            <w:tcW w:w="66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27"/>
        </w:trPr>
        <w:tc>
          <w:tcPr>
            <w:tcW w:w="6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74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80" w:type="dxa"/>
            <w:vAlign w:val="bottom"/>
          </w:tcPr>
          <w:p>
            <w:pPr>
              <w:spacing w:after="0"/>
              <w:rPr>
                <w:sz w:val="19"/>
                <w:szCs w:val="19"/>
                <w:color w:val="auto"/>
              </w:rPr>
            </w:pPr>
          </w:p>
        </w:tc>
      </w:tr>
      <w:tr>
        <w:trPr>
          <w:trHeight w:val="37"/>
        </w:trPr>
        <w:tc>
          <w:tcPr>
            <w:tcW w:w="6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Sales and marketing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21,899</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21,702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1 %</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Percentage of revenue</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3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31F20"/>
        </w:rPr>
        <w:t xml:space="preserve">Sales and marketing expense increased by $0.2 million, or 1%, for the three months ended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31F20"/>
        </w:rPr>
        <w:t xml:space="preserve"> compared to the same period in 2025. The increase was primarily due to a $2.0 million increase in personnel-related costs resulting from a 55% increase in headcount and $0.3 million in other operating costs to support our business expansion, partially offset by a $2.4 million decrease in non-cash stock-based compensation expenses.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31F20"/>
        </w:rPr>
        <w:t>General and Administrative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0"/>
        </w:trPr>
        <w:tc>
          <w:tcPr>
            <w:tcW w:w="6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3"/>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231F20"/>
              </w:rPr>
              <w:t>2026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6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231F20"/>
              </w:rPr>
              <w:t>%</w:t>
            </w:r>
          </w:p>
        </w:tc>
      </w:tr>
      <w:tr>
        <w:trPr>
          <w:trHeight w:val="37"/>
        </w:trPr>
        <w:tc>
          <w:tcPr>
            <w:tcW w:w="66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27"/>
        </w:trPr>
        <w:tc>
          <w:tcPr>
            <w:tcW w:w="6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74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80" w:type="dxa"/>
            <w:vAlign w:val="bottom"/>
          </w:tcPr>
          <w:p>
            <w:pPr>
              <w:spacing w:after="0"/>
              <w:rPr>
                <w:sz w:val="19"/>
                <w:szCs w:val="19"/>
                <w:color w:val="auto"/>
              </w:rPr>
            </w:pPr>
          </w:p>
        </w:tc>
      </w:tr>
      <w:tr>
        <w:trPr>
          <w:trHeight w:val="37"/>
        </w:trPr>
        <w:tc>
          <w:tcPr>
            <w:tcW w:w="6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25,775</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21,870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7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231F20"/>
              </w:rPr>
              <w:t>3,905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18 %</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Percentage of revenue</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319"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231F20"/>
        </w:rPr>
        <w:t xml:space="preserve">General and administrative expense </w:t>
      </w:r>
      <w:r>
        <w:rPr>
          <w:rFonts w:ascii="Times New Roman" w:cs="Times New Roman" w:eastAsia="Times New Roman" w:hAnsi="Times New Roman"/>
          <w:sz w:val="18"/>
          <w:szCs w:val="18"/>
          <w:color w:val="000000"/>
        </w:rPr>
        <w:t>increased $3.9 million</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color w:val="000000"/>
        </w:rPr>
        <w:t>18%</w:t>
      </w:r>
      <w:r>
        <w:rPr>
          <w:rFonts w:ascii="Times New Roman" w:cs="Times New Roman" w:eastAsia="Times New Roman" w:hAnsi="Times New Roman"/>
          <w:sz w:val="18"/>
          <w:szCs w:val="18"/>
          <w:color w:val="231F20"/>
        </w:rPr>
        <w:t xml:space="preserve">, for the three months ended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31F20"/>
        </w:rPr>
        <w:t xml:space="preserve"> compared to the same period in 2025. The in</w:t>
      </w:r>
      <w:r>
        <w:rPr>
          <w:rFonts w:ascii="Times New Roman" w:cs="Times New Roman" w:eastAsia="Times New Roman" w:hAnsi="Times New Roman"/>
          <w:sz w:val="18"/>
          <w:szCs w:val="18"/>
          <w:color w:val="000000"/>
        </w:rPr>
        <w:t>crease</w:t>
      </w:r>
      <w:r>
        <w:rPr>
          <w:rFonts w:ascii="Times New Roman" w:cs="Times New Roman" w:eastAsia="Times New Roman" w:hAnsi="Times New Roman"/>
          <w:sz w:val="18"/>
          <w:szCs w:val="18"/>
          <w:color w:val="231F20"/>
        </w:rPr>
        <w:t xml:space="preserve"> was primarily due to a $2.5 million increase in professional services fees associated with the continued development of our public company infrastructure, a $1.8 million increase in personnel-related costs resulting from a 57% increase in headcount, a $1.5 million increase in other operating costs to support our business expansion. The increase was partially offset by a </w:t>
      </w:r>
      <w:r>
        <w:rPr>
          <w:rFonts w:ascii="Times New Roman" w:cs="Times New Roman" w:eastAsia="Times New Roman" w:hAnsi="Times New Roman"/>
          <w:sz w:val="18"/>
          <w:szCs w:val="18"/>
          <w:color w:val="000000"/>
        </w:rPr>
        <w:t>$1.9 million de</w:t>
      </w:r>
      <w:r>
        <w:rPr>
          <w:rFonts w:ascii="Times New Roman" w:cs="Times New Roman" w:eastAsia="Times New Roman" w:hAnsi="Times New Roman"/>
          <w:sz w:val="18"/>
          <w:szCs w:val="18"/>
          <w:color w:val="231F20"/>
        </w:rPr>
        <w:t>crease in non-cash stock-based compensation expenses.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31F20"/>
        </w:rPr>
        <w:t>Interest Income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4"/>
        </w:trPr>
        <w:tc>
          <w:tcPr>
            <w:tcW w:w="6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spacing w:after="0"/>
              <w:rPr>
                <w:sz w:val="17"/>
                <w:szCs w:val="17"/>
                <w:color w:val="auto"/>
              </w:rPr>
            </w:pPr>
          </w:p>
        </w:tc>
      </w:tr>
      <w:tr>
        <w:trPr>
          <w:trHeight w:val="37"/>
        </w:trPr>
        <w:tc>
          <w:tcPr>
            <w:tcW w:w="68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6"/>
        </w:trPr>
        <w:tc>
          <w:tcPr>
            <w:tcW w:w="6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231F20"/>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7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231F20"/>
              </w:rPr>
              <w:t>%</w:t>
            </w:r>
          </w:p>
        </w:tc>
      </w:tr>
      <w:tr>
        <w:trPr>
          <w:trHeight w:val="37"/>
        </w:trPr>
        <w:tc>
          <w:tcPr>
            <w:tcW w:w="68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26"/>
        </w:trPr>
        <w:tc>
          <w:tcPr>
            <w:tcW w:w="6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4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00" w:type="dxa"/>
            <w:vAlign w:val="bottom"/>
          </w:tcPr>
          <w:p>
            <w:pPr>
              <w:spacing w:after="0"/>
              <w:rPr>
                <w:sz w:val="19"/>
                <w:szCs w:val="19"/>
                <w:color w:val="auto"/>
              </w:rPr>
            </w:pPr>
          </w:p>
        </w:tc>
      </w:tr>
      <w:tr>
        <w:trPr>
          <w:trHeight w:val="37"/>
        </w:trPr>
        <w:tc>
          <w:tcPr>
            <w:tcW w:w="6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4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Interest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31F20"/>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11,581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10,432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231F20"/>
              </w:rPr>
              <w:t>1,149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11 %</w:t>
            </w:r>
          </w:p>
        </w:tc>
      </w:tr>
      <w:tr>
        <w:trPr>
          <w:trHeight w:val="27"/>
        </w:trPr>
        <w:tc>
          <w:tcPr>
            <w:tcW w:w="68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2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231F20"/>
        </w:rPr>
        <w:t xml:space="preserve">For the three months ended </w:t>
      </w:r>
      <w:r>
        <w:rPr>
          <w:rFonts w:ascii="Times New Roman" w:cs="Times New Roman" w:eastAsia="Times New Roman" w:hAnsi="Times New Roman"/>
          <w:sz w:val="18"/>
          <w:szCs w:val="18"/>
          <w:color w:val="000000"/>
        </w:rPr>
        <w:t>March 31, 2026, interest income increased $1.1 million</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color w:val="000000"/>
        </w:rPr>
        <w:t>11%, compared to</w:t>
      </w:r>
      <w:r>
        <w:rPr>
          <w:rFonts w:ascii="Times New Roman" w:cs="Times New Roman" w:eastAsia="Times New Roman" w:hAnsi="Times New Roman"/>
          <w:sz w:val="18"/>
          <w:szCs w:val="18"/>
          <w:color w:val="231F20"/>
        </w:rPr>
        <w:t xml:space="preserve"> the same period in 2025, primarily due to higher average balances of short-term investments and cash equivalents as a result of cash flow from operations.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31F20"/>
        </w:rPr>
        <w:t>Income Tax Benefit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4"/>
        </w:trPr>
        <w:tc>
          <w:tcPr>
            <w:tcW w:w="6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spacing w:after="0"/>
              <w:rPr>
                <w:sz w:val="17"/>
                <w:szCs w:val="17"/>
                <w:color w:val="auto"/>
              </w:rPr>
            </w:pPr>
          </w:p>
        </w:tc>
      </w:tr>
      <w:tr>
        <w:trPr>
          <w:trHeight w:val="37"/>
        </w:trPr>
        <w:tc>
          <w:tcPr>
            <w:tcW w:w="68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6"/>
        </w:trPr>
        <w:tc>
          <w:tcPr>
            <w:tcW w:w="6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231F20"/>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231F20"/>
              </w:rPr>
              <w:t>Amount</w:t>
            </w:r>
          </w:p>
        </w:tc>
        <w:tc>
          <w:tcPr>
            <w:tcW w:w="7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231F20"/>
              </w:rPr>
              <w:t>%</w:t>
            </w:r>
          </w:p>
        </w:tc>
      </w:tr>
      <w:tr>
        <w:trPr>
          <w:trHeight w:val="37"/>
        </w:trPr>
        <w:tc>
          <w:tcPr>
            <w:tcW w:w="68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27"/>
        </w:trPr>
        <w:tc>
          <w:tcPr>
            <w:tcW w:w="6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4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00" w:type="dxa"/>
            <w:vAlign w:val="bottom"/>
          </w:tcPr>
          <w:p>
            <w:pPr>
              <w:spacing w:after="0"/>
              <w:rPr>
                <w:sz w:val="19"/>
                <w:szCs w:val="19"/>
                <w:color w:val="auto"/>
              </w:rPr>
            </w:pPr>
          </w:p>
        </w:tc>
      </w:tr>
      <w:tr>
        <w:trPr>
          <w:trHeight w:val="37"/>
        </w:trPr>
        <w:tc>
          <w:tcPr>
            <w:tcW w:w="6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4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Income tax benefit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31F2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(6,896)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(10,102)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231F20"/>
              </w:rPr>
              <w:t>3,206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(32)%</w:t>
            </w:r>
          </w:p>
        </w:tc>
      </w:tr>
      <w:tr>
        <w:trPr>
          <w:trHeight w:val="27"/>
        </w:trPr>
        <w:tc>
          <w:tcPr>
            <w:tcW w:w="6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231F20"/>
        </w:rPr>
        <w:t>The benefit from income tax de</w:t>
      </w:r>
      <w:r>
        <w:rPr>
          <w:rFonts w:ascii="Times New Roman" w:cs="Times New Roman" w:eastAsia="Times New Roman" w:hAnsi="Times New Roman"/>
          <w:sz w:val="18"/>
          <w:szCs w:val="18"/>
          <w:color w:val="000000"/>
        </w:rPr>
        <w:t>creased $3.2 million</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color w:val="000000"/>
        </w:rPr>
        <w:t>32%</w:t>
      </w:r>
      <w:r>
        <w:rPr>
          <w:rFonts w:ascii="Times New Roman" w:cs="Times New Roman" w:eastAsia="Times New Roman" w:hAnsi="Times New Roman"/>
          <w:sz w:val="18"/>
          <w:szCs w:val="18"/>
          <w:color w:val="231F20"/>
        </w:rPr>
        <w:t xml:space="preserve">, for the three months ended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31F20"/>
        </w:rPr>
        <w:t xml:space="preserve"> compared to the same period in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primarily due to a decrease in excess tax benefits related to equity compensation.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Non-GAAP Financial Measures</w:t>
      </w:r>
    </w:p>
    <w:p>
      <w:pPr>
        <w:spacing w:after="0" w:line="256"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18"/>
          <w:szCs w:val="18"/>
          <w:color w:val="231F20"/>
        </w:rPr>
        <w:t>This Quarterly Report on Form 10-Q contains certain financial measures that are not presented in accordance with generally accepted accounting principles in the United States (“GAAP”), which we use to supplement the performance measures in our condensed consolidated financial statements, which are presented in accordance with GAAP. We refer to these measures as “non-GAAP financial measures.” These non-GAAP financial measures include non-GAAP gross profit, non-GAAP gross margin, non-GAAP operating income, and non-GAAP net income. We use these non-GAAP financial measures for financial and operational decision-making and as a means to assist us in evaluating period-to-period comparisons. By excluding certain items that may not be indicative of our recurring core operating results, we believe that non-GAAP gross profit, non-GAAP gross margin, non-GAAP operating income, and non-GAAP net income provide meaningful supplemental information regarding our performance.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31F20"/>
        </w:rPr>
        <w:t>Non-GAAP Gross Profit and Non-GAAP Gross Margin</w:t>
      </w:r>
    </w:p>
    <w:p>
      <w:pPr>
        <w:spacing w:after="0" w:line="121"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231F20"/>
        </w:rPr>
        <w:t>We define non-GAAP gross profit as gross profit presented in accordance with GAAP, adjusted to exclude non-cash stock-based compensation expenses. The non-GAAP gross margin is non-GAAP gross profit divided by revenue. We have presented non-GAAP gross profit because we consider non-GAAP gross profit to be a useful metric for investors and other users of our financial information in evaluating our operating performance as it excludes the impact of non-cash stock-based compensation, a charge that can vary from period to period for reasons that are unrelated to our core operating performance. This metric also provides investors and other users of our financial information with an additional tool to eliminate the effects of items that may vary for different companies for reasons unrelated to core operating performance.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231F20"/>
        </w:rPr>
        <w:t>A reconciliation of our GAAP gross profit and GAAP gross margin, the most directly comparable GAAP financial measures, to non-GAAP gross profit and non-GAAP gross margin is presented below:</w:t>
      </w:r>
    </w:p>
    <w:p>
      <w:pPr>
        <w:sectPr>
          <w:pgSz w:w="11900" w:h="16838" w:orient="portrait"/>
          <w:cols w:equalWidth="0" w:num="1">
            <w:col w:w="11240"/>
          </w:cols>
          <w:pgMar w:left="320" w:top="2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GAAP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74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Non-GAAP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GAAP gross margin</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74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31F20"/>
        </w:rPr>
        <w:t xml:space="preserve">Non-GAAP gross margin </w:t>
      </w:r>
      <w:r>
        <w:rPr>
          <w:rFonts w:ascii="Times New Roman" w:cs="Times New Roman" w:eastAsia="Times New Roman" w:hAnsi="Times New Roman"/>
          <w:sz w:val="23"/>
          <w:szCs w:val="23"/>
          <w:color w:val="231F20"/>
          <w:vertAlign w:val="superscript"/>
        </w:rPr>
        <w:t>(1)</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Total may not sum due to rounding.</w:t>
      </w:r>
    </w:p>
    <w:p>
      <w:pPr>
        <w:spacing w:after="0" w:line="2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i w:val="1"/>
          <w:iCs w:val="1"/>
          <w:color w:val="231F20"/>
        </w:rPr>
        <w:t>Non-GAAP Operating Income and Non-GAAP Operating Margin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16884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58" w:lineRule="exact"/>
        <w:rPr>
          <w:sz w:val="20"/>
          <w:szCs w:val="20"/>
          <w:color w:val="auto"/>
        </w:rPr>
      </w:pPr>
    </w:p>
    <w:p>
      <w:pPr>
        <w:ind w:left="480"/>
        <w:spacing w:after="0"/>
        <w:tabs>
          <w:tab w:leader="none" w:pos="184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wp:posOffset>
            </wp:positionV>
            <wp:extent cx="1688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p>
      <w:pPr>
        <w:spacing w:after="0" w:line="75" w:lineRule="exact"/>
        <w:rPr>
          <w:sz w:val="20"/>
          <w:szCs w:val="20"/>
          <w:color w:val="auto"/>
        </w:rPr>
      </w:pPr>
    </w:p>
    <w:p>
      <w:pPr>
        <w:spacing w:after="0"/>
        <w:tabs>
          <w:tab w:leader="none" w:pos="440" w:val="left"/>
          <w:tab w:leader="none" w:pos="1360" w:val="left"/>
          <w:tab w:leader="none" w:pos="1820" w:val="left"/>
        </w:tabs>
        <w:rPr>
          <w:sz w:val="20"/>
          <w:szCs w:val="20"/>
          <w:color w:val="auto"/>
        </w:rPr>
      </w:pPr>
      <w:r>
        <w:rPr>
          <w:rFonts w:ascii="Times New Roman" w:cs="Times New Roman" w:eastAsia="Times New Roman" w:hAnsi="Times New Roman"/>
          <w:sz w:val="18"/>
          <w:szCs w:val="18"/>
          <w:color w:val="231F20"/>
        </w:rPr>
        <w:t>$</w:t>
      </w:r>
      <w:r>
        <w:rPr>
          <w:sz w:val="20"/>
          <w:szCs w:val="20"/>
          <w:color w:val="auto"/>
        </w:rPr>
        <w:tab/>
      </w:r>
      <w:r>
        <w:rPr>
          <w:rFonts w:ascii="Times New Roman" w:cs="Times New Roman" w:eastAsia="Times New Roman" w:hAnsi="Times New Roman"/>
          <w:sz w:val="18"/>
          <w:szCs w:val="18"/>
          <w:color w:val="231F20"/>
        </w:rPr>
        <w:t>235,141</w:t>
      </w:r>
      <w:r>
        <w:rPr>
          <w:sz w:val="20"/>
          <w:szCs w:val="20"/>
          <w:color w:val="auto"/>
        </w:rPr>
        <w:tab/>
      </w:r>
      <w:r>
        <w:rPr>
          <w:rFonts w:ascii="Times New Roman" w:cs="Times New Roman" w:eastAsia="Times New Roman" w:hAnsi="Times New Roman"/>
          <w:sz w:val="18"/>
          <w:szCs w:val="18"/>
          <w:color w:val="231F20"/>
        </w:rPr>
        <w:t>$</w:t>
      </w:r>
      <w:r>
        <w:rPr>
          <w:sz w:val="20"/>
          <w:szCs w:val="20"/>
          <w:color w:val="auto"/>
        </w:rPr>
        <w:tab/>
      </w:r>
      <w:r>
        <w:rPr>
          <w:rFonts w:ascii="Times New Roman" w:cs="Times New Roman" w:eastAsia="Times New Roman" w:hAnsi="Times New Roman"/>
          <w:sz w:val="17"/>
          <w:szCs w:val="17"/>
          <w:color w:val="231F20"/>
        </w:rPr>
        <w:t>119,411</w:t>
      </w:r>
    </w:p>
    <w:p>
      <w:pPr>
        <w:spacing w:after="0" w:line="63" w:lineRule="exact"/>
        <w:rPr>
          <w:sz w:val="20"/>
          <w:szCs w:val="20"/>
          <w:color w:val="auto"/>
        </w:rPr>
      </w:pPr>
    </w:p>
    <w:p>
      <w:pPr>
        <w:ind w:left="2160" w:hanging="1387"/>
        <w:spacing w:after="0"/>
        <w:tabs>
          <w:tab w:leader="none" w:pos="2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(38)</w:t>
      </w:r>
    </w:p>
    <w:p>
      <w:pPr>
        <w:spacing w:after="0" w:line="77" w:lineRule="exact"/>
        <w:rPr>
          <w:sz w:val="20"/>
          <w:szCs w:val="20"/>
          <w:color w:val="auto"/>
        </w:rPr>
      </w:pPr>
    </w:p>
    <w:p>
      <w:pPr>
        <w:spacing w:after="0"/>
        <w:tabs>
          <w:tab w:leader="none" w:pos="440" w:val="left"/>
          <w:tab w:leader="none" w:pos="1360" w:val="left"/>
          <w:tab w:leader="none" w:pos="1820" w:val="left"/>
        </w:tabs>
        <w:rPr>
          <w:sz w:val="20"/>
          <w:szCs w:val="20"/>
          <w:color w:val="auto"/>
        </w:rPr>
      </w:pPr>
      <w:r>
        <w:rPr>
          <w:rFonts w:ascii="Times New Roman" w:cs="Times New Roman" w:eastAsia="Times New Roman" w:hAnsi="Times New Roman"/>
          <w:sz w:val="18"/>
          <w:szCs w:val="18"/>
          <w:color w:val="231F20"/>
        </w:rPr>
        <w:t>$</w:t>
      </w:r>
      <w:r>
        <w:rPr>
          <w:sz w:val="20"/>
          <w:szCs w:val="20"/>
          <w:color w:val="auto"/>
        </w:rPr>
        <w:tab/>
      </w:r>
      <w:r>
        <w:rPr>
          <w:rFonts w:ascii="Times New Roman" w:cs="Times New Roman" w:eastAsia="Times New Roman" w:hAnsi="Times New Roman"/>
          <w:sz w:val="18"/>
          <w:szCs w:val="18"/>
          <w:color w:val="231F20"/>
        </w:rPr>
        <w:t>235,640</w:t>
      </w:r>
      <w:r>
        <w:rPr>
          <w:sz w:val="20"/>
          <w:szCs w:val="20"/>
          <w:color w:val="auto"/>
        </w:rPr>
        <w:tab/>
      </w:r>
      <w:r>
        <w:rPr>
          <w:rFonts w:ascii="Times New Roman" w:cs="Times New Roman" w:eastAsia="Times New Roman" w:hAnsi="Times New Roman"/>
          <w:sz w:val="18"/>
          <w:szCs w:val="18"/>
          <w:color w:val="231F20"/>
        </w:rPr>
        <w:t>$</w:t>
      </w:r>
      <w:r>
        <w:rPr>
          <w:sz w:val="20"/>
          <w:szCs w:val="20"/>
          <w:color w:val="auto"/>
        </w:rPr>
        <w:tab/>
      </w:r>
      <w:r>
        <w:rPr>
          <w:rFonts w:ascii="Times New Roman" w:cs="Times New Roman" w:eastAsia="Times New Roman" w:hAnsi="Times New Roman"/>
          <w:sz w:val="17"/>
          <w:szCs w:val="17"/>
          <w:color w:val="231F20"/>
        </w:rPr>
        <w:t>119,373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16884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327" w:lineRule="exact"/>
        <w:rPr>
          <w:sz w:val="20"/>
          <w:szCs w:val="20"/>
          <w:color w:val="auto"/>
        </w:rPr>
      </w:pPr>
    </w:p>
    <w:p>
      <w:pPr>
        <w:jc w:val="right"/>
        <w:ind w:right="20"/>
        <w:spacing w:after="0"/>
        <w:tabs>
          <w:tab w:leader="none" w:pos="500" w:val="left"/>
        </w:tabs>
        <w:rPr>
          <w:sz w:val="20"/>
          <w:szCs w:val="20"/>
          <w:color w:val="auto"/>
        </w:rPr>
      </w:pPr>
      <w:r>
        <w:rPr>
          <w:rFonts w:ascii="Times New Roman" w:cs="Times New Roman" w:eastAsia="Times New Roman" w:hAnsi="Times New Roman"/>
          <w:sz w:val="18"/>
          <w:szCs w:val="18"/>
          <w:color w:val="auto"/>
        </w:rPr>
        <w:t>76.3 %</w:t>
      </w:r>
      <w:r>
        <w:rPr>
          <w:sz w:val="20"/>
          <w:szCs w:val="20"/>
          <w:color w:val="auto"/>
        </w:rPr>
        <w:tab/>
      </w:r>
      <w:r>
        <w:rPr>
          <w:rFonts w:ascii="Times New Roman" w:cs="Times New Roman" w:eastAsia="Times New Roman" w:hAnsi="Times New Roman"/>
          <w:sz w:val="18"/>
          <w:szCs w:val="18"/>
          <w:color w:val="auto"/>
        </w:rPr>
        <w:t>74.9 %</w:t>
      </w:r>
    </w:p>
    <w:p>
      <w:pPr>
        <w:spacing w:after="0" w:line="63" w:lineRule="exact"/>
        <w:rPr>
          <w:sz w:val="20"/>
          <w:szCs w:val="20"/>
          <w:color w:val="auto"/>
        </w:rPr>
      </w:pPr>
    </w:p>
    <w:p>
      <w:pPr>
        <w:ind w:left="820"/>
        <w:spacing w:after="0"/>
        <w:tabs>
          <w:tab w:leader="none" w:pos="2220" w:val="left"/>
        </w:tabs>
        <w:rPr>
          <w:sz w:val="20"/>
          <w:szCs w:val="20"/>
          <w:color w:val="auto"/>
        </w:rPr>
      </w:pPr>
      <w:r>
        <w:rPr>
          <w:rFonts w:ascii="Times New Roman" w:cs="Times New Roman" w:eastAsia="Times New Roman" w:hAnsi="Times New Roman"/>
          <w:sz w:val="18"/>
          <w:szCs w:val="18"/>
          <w:color w:val="auto"/>
        </w:rPr>
        <w:t>0.2</w:t>
      </w:r>
      <w:r>
        <w:rPr>
          <w:sz w:val="20"/>
          <w:szCs w:val="20"/>
          <w:color w:val="auto"/>
        </w:rPr>
        <w:tab/>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right"/>
        <w:ind w:right="20"/>
        <w:spacing w:after="0"/>
        <w:tabs>
          <w:tab w:leader="none" w:pos="500" w:val="left"/>
        </w:tabs>
        <w:rPr>
          <w:sz w:val="20"/>
          <w:szCs w:val="20"/>
          <w:color w:val="auto"/>
        </w:rPr>
      </w:pPr>
      <w:r>
        <w:rPr>
          <w:rFonts w:ascii="Times New Roman" w:cs="Times New Roman" w:eastAsia="Times New Roman" w:hAnsi="Times New Roman"/>
          <w:sz w:val="18"/>
          <w:szCs w:val="18"/>
          <w:color w:val="auto"/>
        </w:rPr>
        <w:t>76.4 %</w:t>
      </w:r>
      <w:r>
        <w:rPr>
          <w:sz w:val="20"/>
          <w:szCs w:val="20"/>
          <w:color w:val="auto"/>
        </w:rPr>
        <w:tab/>
      </w:r>
      <w:r>
        <w:rPr>
          <w:rFonts w:ascii="Times New Roman" w:cs="Times New Roman" w:eastAsia="Times New Roman" w:hAnsi="Times New Roman"/>
          <w:sz w:val="18"/>
          <w:szCs w:val="18"/>
          <w:color w:val="auto"/>
        </w:rPr>
        <w:t>74.9 %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16884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968" w:lineRule="exact"/>
        <w:rPr>
          <w:sz w:val="20"/>
          <w:szCs w:val="20"/>
          <w:color w:val="auto"/>
        </w:rPr>
      </w:pPr>
    </w:p>
    <w:p>
      <w:pPr>
        <w:sectPr>
          <w:pgSz w:w="11900" w:h="16838" w:orient="portrait"/>
          <w:cols w:equalWidth="0" w:num="2">
            <w:col w:w="7880" w:space="720"/>
            <w:col w:w="2640"/>
          </w:cols>
          <w:pgMar w:left="320" w:top="269" w:right="339" w:bottom="1440" w:gutter="0" w:footer="0" w:header="0"/>
          <w:type w:val="continuous"/>
        </w:sect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231F20"/>
        </w:rPr>
        <w:t>We define non-GAAP operating income as operating income presented in accordance with GAAP, adjusted to exclude non-cash stock-based compensation expenses and acquisition-related costs. We define non-GAAP operating margin as non-GAAP operating income divided by revenue. We have presented non-GAAP operating income and non-GAAP operating margin because we consider them useful metrics for investors and other users of our financial information in evaluating our operating performance as it excludes the impact of non-cash stock-based compensation expense and acquisition-related costs, a charge that can vary from period to period or are one time charges for reasons that are unrelated to our core operating performance. These metrics also provide investors and other users of our financial information with an additional tool to eliminate the effects of items that may vary for different companies for reasons unrelated to core operating performance.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A reconciliation of our GAAP operating income and GAAP operating margin, the most directly comparable GAAP financial measures, to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GAAP operating income and non-GAAP operating margin is presented below:</w:t>
      </w:r>
    </w:p>
    <w:p>
      <w:pPr>
        <w:spacing w:after="0" w:line="254"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33020</wp:posOffset>
            </wp:positionV>
            <wp:extent cx="16884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5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r>
      <w:tr>
        <w:trPr>
          <w:trHeight w:val="227"/>
        </w:trPr>
        <w:tc>
          <w:tcPr>
            <w:tcW w:w="8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231F20"/>
              </w:rPr>
              <w:t>(in thousands, except percentages)</w:t>
            </w:r>
          </w:p>
        </w:tc>
      </w:tr>
      <w:tr>
        <w:trPr>
          <w:trHeight w:val="37"/>
        </w:trPr>
        <w:tc>
          <w:tcPr>
            <w:tcW w:w="8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GAAP operating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231F20"/>
              </w:rPr>
              <w:t>61,833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31F20"/>
                <w:w w:val="88"/>
              </w:rPr>
              <w:t>$</w:t>
            </w: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rPr>
              <w:t>11,285</w:t>
            </w:r>
          </w:p>
        </w:tc>
      </w:tr>
      <w:tr>
        <w:trPr>
          <w:trHeight w:val="243"/>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Stock-based compensation expense</w:t>
            </w:r>
          </w:p>
        </w:tc>
        <w:tc>
          <w:tcPr>
            <w:tcW w:w="200" w:type="dxa"/>
            <w:vAlign w:val="bottom"/>
          </w:tcPr>
          <w:p>
            <w:pPr>
              <w:spacing w:after="0"/>
              <w:rPr>
                <w:sz w:val="21"/>
                <w:szCs w:val="21"/>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231F20"/>
              </w:rPr>
              <w:t>48,913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42,446</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Acquisition-related costs </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231F20"/>
              </w:rPr>
              <w:t>983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31F20"/>
              </w:rPr>
              <w:t>—</w:t>
            </w:r>
          </w:p>
        </w:tc>
      </w:tr>
      <w:tr>
        <w:trPr>
          <w:trHeight w:val="263"/>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231F20"/>
              </w:rPr>
              <w:t>Non-GAAP operating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231F20"/>
                <w:w w:val="88"/>
              </w:rPr>
              <w:t>$</w:t>
            </w:r>
          </w:p>
        </w:tc>
        <w:tc>
          <w:tcPr>
            <w:tcW w:w="10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231F20"/>
              </w:rPr>
              <w:t>111,729</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231F20"/>
                <w:w w:val="88"/>
              </w:rPr>
              <w:t>$</w:t>
            </w: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231F20"/>
              </w:rPr>
              <w:t>53,731</w:t>
            </w: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8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3"/>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231F20"/>
              </w:rPr>
              <w:t>GAAP operating margin</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Stock-based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26.6</w:t>
            </w:r>
          </w:p>
        </w:tc>
      </w:tr>
      <w:tr>
        <w:trPr>
          <w:trHeight w:val="270"/>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Acquisition-related costs </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 xml:space="preserve">Non-GAAP operating margin </w:t>
            </w:r>
            <w:r>
              <w:rPr>
                <w:rFonts w:ascii="Times New Roman" w:cs="Times New Roman" w:eastAsia="Times New Roman" w:hAnsi="Times New Roman"/>
                <w:sz w:val="23"/>
                <w:szCs w:val="23"/>
                <w:color w:val="231F20"/>
                <w:vertAlign w:val="superscript"/>
              </w:rPr>
              <w:t>(2)</w:t>
            </w:r>
          </w:p>
        </w:tc>
        <w:tc>
          <w:tcPr>
            <w:tcW w:w="2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520" w:firstLine="6"/>
        <w:spacing w:after="0" w:line="282" w:lineRule="auto"/>
        <w:tabs>
          <w:tab w:leader="none" w:pos="79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costs include certain incremental expenses incurred to effect a business combination such as third-party costs: advisory, legal, accounting, valuation, and other professional fees.</w:t>
      </w:r>
    </w:p>
    <w:p>
      <w:pPr>
        <w:spacing w:after="0" w:line="53" w:lineRule="exact"/>
        <w:rPr>
          <w:rFonts w:ascii="Times New Roman" w:cs="Times New Roman" w:eastAsia="Times New Roman" w:hAnsi="Times New Roman"/>
          <w:sz w:val="18"/>
          <w:szCs w:val="18"/>
          <w:color w:val="auto"/>
        </w:rPr>
      </w:pPr>
    </w:p>
    <w:p>
      <w:pPr>
        <w:ind w:left="780" w:hanging="254"/>
        <w:spacing w:after="0"/>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may not sum due to rounding.</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31F20"/>
        </w:rPr>
        <w:t>Non-GAAP Net Income</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231F20"/>
        </w:rPr>
        <w:t>We monitor non-GAAP net income for planning and performance measurement purposes. We define non-GAAP net income as net income presented in accordance with GAAP on our condensed consolidated statements of operations,</w:t>
      </w:r>
    </w:p>
    <w:p>
      <w:pPr>
        <w:sectPr>
          <w:pgSz w:w="11900" w:h="16838" w:orient="portrait"/>
          <w:cols w:equalWidth="0" w:num="1">
            <w:col w:w="11240"/>
          </w:cols>
          <w:pgMar w:left="320" w:top="26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excluding the impact of non-cash stock-based compensation expenses, acquisition-related costs, and the related tax impact on the adjustments. We have presented non-GAAP net income because we believe that the exclusion of these charges allows for a more relevant comparison of our results of operations to other companies in our industry and facilitates period-to-period comparisons as it eliminates the effect of certain factors unrelated to our overall operating performance.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A reconciliation of our GAAP net income, the most directly comparable GAAP financial measure, to our non-GAAP net income is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below:</w:t>
      </w:r>
    </w:p>
    <w:p>
      <w:pPr>
        <w:spacing w:after="0" w:line="254" w:lineRule="exact"/>
        <w:rPr>
          <w:sz w:val="20"/>
          <w:szCs w:val="20"/>
          <w:color w:val="auto"/>
        </w:rPr>
      </w:pPr>
    </w:p>
    <w:p>
      <w:pPr>
        <w:jc w:val="center"/>
        <w:ind w:left="8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8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39370</wp:posOffset>
            </wp:positionV>
            <wp:extent cx="1517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8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27"/>
        </w:trPr>
        <w:tc>
          <w:tcPr>
            <w:tcW w:w="8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740" w:type="dxa"/>
            <w:vAlign w:val="bottom"/>
          </w:tcPr>
          <w:p>
            <w:pPr>
              <w:spacing w:after="0"/>
              <w:rPr>
                <w:sz w:val="19"/>
                <w:szCs w:val="19"/>
                <w:color w:val="auto"/>
              </w:rPr>
            </w:pPr>
          </w:p>
        </w:tc>
      </w:tr>
      <w:tr>
        <w:trPr>
          <w:trHeight w:val="37"/>
        </w:trPr>
        <w:tc>
          <w:tcPr>
            <w:tcW w:w="8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50"/>
        </w:trPr>
        <w:tc>
          <w:tcPr>
            <w:tcW w:w="8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GAAP 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80,310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231F20"/>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31,819</w:t>
            </w:r>
          </w:p>
        </w:tc>
      </w:tr>
      <w:tr>
        <w:trPr>
          <w:trHeight w:val="243"/>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48,913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42,446</w:t>
            </w:r>
          </w:p>
        </w:tc>
      </w:tr>
      <w:tr>
        <w:trPr>
          <w:trHeight w:val="27"/>
        </w:trPr>
        <w:tc>
          <w:tcPr>
            <w:tcW w:w="8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Acquisition-related costs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983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70"/>
        </w:trPr>
        <w:tc>
          <w:tcPr>
            <w:tcW w:w="8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Income tax effect </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(20,137)</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(14,638)</w:t>
            </w:r>
          </w:p>
        </w:tc>
      </w:tr>
      <w:tr>
        <w:trPr>
          <w:trHeight w:val="288"/>
        </w:trPr>
        <w:tc>
          <w:tcPr>
            <w:tcW w:w="8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Non-GAAP 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31F20"/>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110,069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231F20"/>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59,627</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520" w:firstLine="6"/>
        <w:spacing w:after="0" w:line="282" w:lineRule="auto"/>
        <w:tabs>
          <w:tab w:leader="none" w:pos="79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costs include certain incremental expenses incurred to effect a business combination such as third-party costs: advisory, legal, accounting, valuation, and other professional fees.</w:t>
      </w:r>
    </w:p>
    <w:p>
      <w:pPr>
        <w:spacing w:after="0" w:line="53" w:lineRule="exact"/>
        <w:rPr>
          <w:rFonts w:ascii="Times New Roman" w:cs="Times New Roman" w:eastAsia="Times New Roman" w:hAnsi="Times New Roman"/>
          <w:sz w:val="18"/>
          <w:szCs w:val="18"/>
          <w:color w:val="auto"/>
        </w:rPr>
      </w:pPr>
    </w:p>
    <w:p>
      <w:pPr>
        <w:jc w:val="both"/>
        <w:ind w:left="520" w:firstLine="6"/>
        <w:spacing w:after="0" w:line="261" w:lineRule="auto"/>
        <w:tabs>
          <w:tab w:leader="none" w:pos="7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effect is calculated based on the tax laws in the jurisdictions in which we operate and is calculated to exclude the impact of non-cash stock-based compensation expense and one-off discrete tax adjustments that are unrelated to our core operating performance. We no longer maintain valuation allowance for non-GAAP purposes due to our cumulative tax profits on a non-GAAP basis. For the three months ended March 31, 2026 and 2025, the non-GAAP tax rate was approximately 11% and 7%,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12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231F20"/>
        </w:rPr>
        <w:t xml:space="preserve">Since our inception, we have financed our operations primarily through proceeds from equity issuances including net proceeds from our IPO, and cash generated from the sale of our products. As of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31F20"/>
        </w:rPr>
        <w:t xml:space="preserve">, our principal sources of liquidity were cash, cash equivalents, and marketable securities of </w:t>
      </w:r>
      <w:r>
        <w:rPr>
          <w:rFonts w:ascii="Times New Roman" w:cs="Times New Roman" w:eastAsia="Times New Roman" w:hAnsi="Times New Roman"/>
          <w:sz w:val="18"/>
          <w:szCs w:val="18"/>
          <w:color w:val="000000"/>
        </w:rPr>
        <w:t>$1.2 billion</w:t>
      </w:r>
      <w:r>
        <w:rPr>
          <w:rFonts w:ascii="Times New Roman" w:cs="Times New Roman" w:eastAsia="Times New Roman" w:hAnsi="Times New Roman"/>
          <w:sz w:val="18"/>
          <w:szCs w:val="18"/>
          <w:color w:val="231F20"/>
        </w:rPr>
        <w:t>. Our principal use of cash is to fund our operations, invest in research and development, fund capital expenditures for production equipment, acquisitions of businesses or technologies, and to support our overall growth.</w:t>
      </w:r>
    </w:p>
    <w:p>
      <w:pPr>
        <w:spacing w:after="0" w:line="72"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231F20"/>
        </w:rPr>
        <w:t xml:space="preserve">We generated </w:t>
      </w:r>
      <w:r>
        <w:rPr>
          <w:rFonts w:ascii="Times New Roman" w:cs="Times New Roman" w:eastAsia="Times New Roman" w:hAnsi="Times New Roman"/>
          <w:sz w:val="18"/>
          <w:szCs w:val="18"/>
          <w:color w:val="000000"/>
        </w:rPr>
        <w:t>$74.6 million</w:t>
      </w:r>
      <w:r>
        <w:rPr>
          <w:rFonts w:ascii="Times New Roman" w:cs="Times New Roman" w:eastAsia="Times New Roman" w:hAnsi="Times New Roman"/>
          <w:sz w:val="18"/>
          <w:szCs w:val="18"/>
          <w:color w:val="231F20"/>
        </w:rPr>
        <w:t xml:space="preserve"> in cash flow from operating activities for the three months ended </w:t>
      </w:r>
      <w:r>
        <w:rPr>
          <w:rFonts w:ascii="Times New Roman" w:cs="Times New Roman" w:eastAsia="Times New Roman" w:hAnsi="Times New Roman"/>
          <w:sz w:val="18"/>
          <w:szCs w:val="18"/>
          <w:color w:val="000000"/>
        </w:rPr>
        <w:t>March 31, 2026 and a retained earnings of $90.6</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million as of March 31, 2026. W</w:t>
      </w:r>
      <w:r>
        <w:rPr>
          <w:rFonts w:ascii="Times New Roman" w:cs="Times New Roman" w:eastAsia="Times New Roman" w:hAnsi="Times New Roman"/>
          <w:sz w:val="18"/>
          <w:szCs w:val="18"/>
          <w:color w:val="231F20"/>
        </w:rPr>
        <w:t>e believe that our current cash, cash equivalents, and marketable securities will be sufficient to fund our operations for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at least the next 12 months and beyond. Our future capital requirements, however, will depend on many factors, including our growth rate, the timing and extent of our sales and marketing and research and development expenditures, capital expenditures for production equipment, the continuing market acceptance of our products, and the use of cash to fund potential mergers or acquisitions. In the event that additional financing is required from outside sources, we may seek to raise additional funds through equity, equity-linked arrangements, and debt. If we are unable to raise additional capital when desired and at reasonable rates, our business, results of operations, and financial condition could be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following table summarizes our cash flows for the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2"/>
          </w:tcPr>
          <w:p>
            <w:pPr>
              <w:jc w:val="center"/>
              <w:ind w:lef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6"/>
                <w:szCs w:val="16"/>
                <w:color w:val="auto"/>
              </w:rPr>
            </w:pPr>
          </w:p>
        </w:tc>
        <w:tc>
          <w:tcPr>
            <w:tcW w:w="9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2"/>
          </w:tcPr>
          <w:p>
            <w:pPr>
              <w:jc w:val="center"/>
              <w:ind w:left="56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74,598</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231F2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10,504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31F20"/>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64,094</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(94,007)</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(3,940)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31F20"/>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(90,067)</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31F20"/>
              </w:rPr>
              <w:t>$</w:t>
            </w:r>
          </w:p>
        </w:tc>
        <w:tc>
          <w:tcPr>
            <w:tcW w:w="11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231F20"/>
              </w:rPr>
              <w:t>82</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231F2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386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31F20"/>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(304)</w:t>
            </w:r>
          </w:p>
        </w:tc>
        <w:tc>
          <w:tcPr>
            <w:tcW w:w="0" w:type="dxa"/>
            <w:vAlign w:val="bottom"/>
          </w:tcPr>
          <w:p>
            <w:pPr>
              <w:spacing w:after="0"/>
              <w:rPr>
                <w:sz w:val="1"/>
                <w:szCs w:val="1"/>
                <w:color w:val="auto"/>
              </w:rPr>
            </w:pPr>
          </w:p>
        </w:tc>
      </w:tr>
      <w:tr>
        <w:trPr>
          <w:trHeight w:val="27"/>
        </w:trPr>
        <w:tc>
          <w:tcPr>
            <w:tcW w:w="66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31F20"/>
        </w:rPr>
        <w:t>Change in Cash Flows from Operating Activities</w:t>
      </w:r>
    </w:p>
    <w:p>
      <w:pPr>
        <w:spacing w:after="0" w:line="121"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 xml:space="preserve">Net cash provided by operating activities for the three </w:t>
      </w:r>
      <w:r>
        <w:rPr>
          <w:rFonts w:ascii="Times New Roman" w:cs="Times New Roman" w:eastAsia="Times New Roman" w:hAnsi="Times New Roman"/>
          <w:sz w:val="18"/>
          <w:szCs w:val="18"/>
          <w:color w:val="231F20"/>
        </w:rPr>
        <w:t>months ended March 31, 2026</w:t>
      </w:r>
      <w:r>
        <w:rPr>
          <w:rFonts w:ascii="Times New Roman" w:cs="Times New Roman" w:eastAsia="Times New Roman" w:hAnsi="Times New Roman"/>
          <w:sz w:val="18"/>
          <w:szCs w:val="18"/>
          <w:color w:val="auto"/>
        </w:rPr>
        <w:t xml:space="preserve"> was $74.6 million, </w:t>
      </w:r>
      <w:r>
        <w:rPr>
          <w:rFonts w:ascii="Times New Roman" w:cs="Times New Roman" w:eastAsia="Times New Roman" w:hAnsi="Times New Roman"/>
          <w:sz w:val="18"/>
          <w:szCs w:val="18"/>
          <w:color w:val="231F20"/>
        </w:rPr>
        <w:t>compared to</w:t>
      </w:r>
      <w:r>
        <w:rPr>
          <w:rFonts w:ascii="Times New Roman" w:cs="Times New Roman" w:eastAsia="Times New Roman" w:hAnsi="Times New Roman"/>
          <w:sz w:val="18"/>
          <w:szCs w:val="18"/>
          <w:color w:val="auto"/>
        </w:rPr>
        <w:t xml:space="preserve"> $10.5 million for the comparable period in 2025. The $64.1 million increase in operating cash inflows was a result of a $48.5 million increase in net income, higher non-cash charges of $12.3 million, and a favorable change of $3.3 million from changes in operating assets and liabilities. The higher non-cash charges of $12.3 million were primarily due to a $6.5 million increase in stock-based compensation expense, $2.6 million increase in depreciation and amortization, a $1.7 million increase in warrants contra revenue, and $1.3 million increase in accretion of discounts on marketable securities. The favorable change of $3.3 million in operating assets and liabilities was predominantly attributable to a $28.4 million favorable change in the prepaid expenses and other assets, and a</w:t>
      </w:r>
    </w:p>
    <w:p>
      <w:pPr>
        <w:spacing w:after="0" w:line="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$7.1 million favorable change in inventory. The favorable change was partially offset by (i) a $20.8 million unfavorable changes in accounts receivable due to higher product sales and the timing of customer payments, and (ii) a $11.4 million unfavorable change in accounts payables and accrued other liabilities primarily due to the timing of payments.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31F20"/>
        </w:rPr>
        <w:t>Change in Cash Flows from Investing Activities</w:t>
      </w:r>
    </w:p>
    <w:p>
      <w:pPr>
        <w:spacing w:after="0" w:line="121" w:lineRule="exact"/>
        <w:rPr>
          <w:sz w:val="20"/>
          <w:szCs w:val="20"/>
          <w:color w:val="auto"/>
        </w:rPr>
      </w:pPr>
    </w:p>
    <w:p>
      <w:pPr>
        <w:jc w:val="both"/>
        <w:ind w:firstLine="518"/>
        <w:spacing w:after="0" w:line="273" w:lineRule="auto"/>
        <w:rPr>
          <w:sz w:val="20"/>
          <w:szCs w:val="20"/>
          <w:color w:val="auto"/>
        </w:rPr>
      </w:pPr>
      <w:r>
        <w:rPr>
          <w:rFonts w:ascii="Times New Roman" w:cs="Times New Roman" w:eastAsia="Times New Roman" w:hAnsi="Times New Roman"/>
          <w:sz w:val="18"/>
          <w:szCs w:val="18"/>
          <w:color w:val="auto"/>
        </w:rPr>
        <w:t xml:space="preserve">Net cash used in investing activities for the three </w:t>
      </w:r>
      <w:r>
        <w:rPr>
          <w:rFonts w:ascii="Times New Roman" w:cs="Times New Roman" w:eastAsia="Times New Roman" w:hAnsi="Times New Roman"/>
          <w:sz w:val="18"/>
          <w:szCs w:val="18"/>
          <w:color w:val="231F20"/>
        </w:rPr>
        <w:t>months ended March 31, 2026</w:t>
      </w:r>
      <w:r>
        <w:rPr>
          <w:rFonts w:ascii="Times New Roman" w:cs="Times New Roman" w:eastAsia="Times New Roman" w:hAnsi="Times New Roman"/>
          <w:sz w:val="18"/>
          <w:szCs w:val="18"/>
          <w:color w:val="auto"/>
        </w:rPr>
        <w:t xml:space="preserve"> was $94.0 million, </w:t>
      </w:r>
      <w:r>
        <w:rPr>
          <w:rFonts w:ascii="Times New Roman" w:cs="Times New Roman" w:eastAsia="Times New Roman" w:hAnsi="Times New Roman"/>
          <w:sz w:val="18"/>
          <w:szCs w:val="18"/>
          <w:color w:val="231F20"/>
        </w:rPr>
        <w:t>compared to</w:t>
      </w:r>
      <w:r>
        <w:rPr>
          <w:rFonts w:ascii="Times New Roman" w:cs="Times New Roman" w:eastAsia="Times New Roman" w:hAnsi="Times New Roman"/>
          <w:sz w:val="18"/>
          <w:szCs w:val="18"/>
          <w:color w:val="auto"/>
        </w:rPr>
        <w:t xml:space="preserve"> $3.9 million for the comparable period in 2025. The $90.1 million increase in cash used in investing activities was primarily due to a $65.0 million increase associated with the acquisition</w:t>
      </w:r>
    </w:p>
    <w:p>
      <w:pPr>
        <w:spacing w:after="0" w:line="2"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 xml:space="preserve">of a business, a $53.7 million decrease </w:t>
      </w:r>
      <w:r>
        <w:rPr>
          <w:rFonts w:ascii="Times New Roman" w:cs="Times New Roman" w:eastAsia="Times New Roman" w:hAnsi="Times New Roman"/>
          <w:sz w:val="18"/>
          <w:szCs w:val="18"/>
          <w:color w:val="231F20"/>
        </w:rPr>
        <w:t>in proceeds from sales and maturities of marketable securities, and a</w:t>
      </w:r>
      <w:r>
        <w:rPr>
          <w:rFonts w:ascii="Times New Roman" w:cs="Times New Roman" w:eastAsia="Times New Roman" w:hAnsi="Times New Roman"/>
          <w:sz w:val="18"/>
          <w:szCs w:val="18"/>
          <w:color w:val="auto"/>
        </w:rPr>
        <w:t xml:space="preserve"> $3.0 million increase in proceeds used in purchase of property and equipment, </w:t>
      </w:r>
      <w:r>
        <w:rPr>
          <w:rFonts w:ascii="Times New Roman" w:cs="Times New Roman" w:eastAsia="Times New Roman" w:hAnsi="Times New Roman"/>
          <w:sz w:val="18"/>
          <w:szCs w:val="18"/>
          <w:color w:val="231F20"/>
        </w:rPr>
        <w:t>partially offset by a</w:t>
      </w:r>
      <w:r>
        <w:rPr>
          <w:rFonts w:ascii="Times New Roman" w:cs="Times New Roman" w:eastAsia="Times New Roman" w:hAnsi="Times New Roman"/>
          <w:sz w:val="18"/>
          <w:szCs w:val="18"/>
          <w:color w:val="auto"/>
        </w:rPr>
        <w:t xml:space="preserve"> $34.2 million decrease in </w:t>
      </w:r>
      <w:r>
        <w:rPr>
          <w:rFonts w:ascii="Times New Roman" w:cs="Times New Roman" w:eastAsia="Times New Roman" w:hAnsi="Times New Roman"/>
          <w:sz w:val="18"/>
          <w:szCs w:val="18"/>
          <w:color w:val="231F20"/>
        </w:rPr>
        <w:t>purchases of marketable securities.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31F20"/>
        </w:rPr>
        <w:t>Change in Cash Flows from Financing Activities</w:t>
      </w:r>
    </w:p>
    <w:p>
      <w:pPr>
        <w:spacing w:after="0" w:line="162"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 xml:space="preserve">Net cash provided by financing activities for the three </w:t>
      </w:r>
      <w:r>
        <w:rPr>
          <w:rFonts w:ascii="Times New Roman" w:cs="Times New Roman" w:eastAsia="Times New Roman" w:hAnsi="Times New Roman"/>
          <w:sz w:val="18"/>
          <w:szCs w:val="18"/>
          <w:color w:val="231F20"/>
        </w:rPr>
        <w:t>months ended March 31, 2026</w:t>
      </w:r>
      <w:r>
        <w:rPr>
          <w:rFonts w:ascii="Times New Roman" w:cs="Times New Roman" w:eastAsia="Times New Roman" w:hAnsi="Times New Roman"/>
          <w:sz w:val="18"/>
          <w:szCs w:val="18"/>
          <w:color w:val="auto"/>
        </w:rPr>
        <w:t xml:space="preserve"> was $0.1 million, </w:t>
      </w:r>
      <w:r>
        <w:rPr>
          <w:rFonts w:ascii="Times New Roman" w:cs="Times New Roman" w:eastAsia="Times New Roman" w:hAnsi="Times New Roman"/>
          <w:sz w:val="18"/>
          <w:szCs w:val="18"/>
          <w:color w:val="231F20"/>
        </w:rPr>
        <w:t>compared to</w:t>
      </w:r>
      <w:r>
        <w:rPr>
          <w:rFonts w:ascii="Times New Roman" w:cs="Times New Roman" w:eastAsia="Times New Roman" w:hAnsi="Times New Roman"/>
          <w:sz w:val="18"/>
          <w:szCs w:val="18"/>
          <w:color w:val="auto"/>
        </w:rPr>
        <w:t xml:space="preserve"> $0.4 million for the comparable period in 2025. The $0.3 million decrease in cash provided by financing activities was primarily due to a decrease related to proceeds received from exercises of stock options.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Material Cash Requirements</w:t>
      </w:r>
    </w:p>
    <w:p>
      <w:pPr>
        <w:spacing w:after="0" w:line="254"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18"/>
          <w:szCs w:val="18"/>
          <w:i w:val="1"/>
          <w:iCs w:val="1"/>
          <w:color w:val="231F20"/>
        </w:rPr>
        <w:t xml:space="preserve">Operating lease commitments. </w:t>
      </w:r>
      <w:r>
        <w:rPr>
          <w:rFonts w:ascii="Times New Roman" w:cs="Times New Roman" w:eastAsia="Times New Roman" w:hAnsi="Times New Roman"/>
          <w:sz w:val="18"/>
          <w:szCs w:val="18"/>
          <w:color w:val="231F20"/>
        </w:rPr>
        <w:t>Our operating lease commitments primarily include corporate offices. For an additional discussion of our operating</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 xml:space="preserve">lease commitments, </w:t>
      </w:r>
      <w:r>
        <w:rPr>
          <w:rFonts w:ascii="Times New Roman" w:cs="Times New Roman" w:eastAsia="Times New Roman" w:hAnsi="Times New Roman"/>
          <w:sz w:val="18"/>
          <w:szCs w:val="18"/>
          <w:color w:val="000000"/>
        </w:rPr>
        <w:t>s</w:t>
      </w:r>
      <w:r>
        <w:rPr>
          <w:rFonts w:ascii="Times New Roman" w:cs="Times New Roman" w:eastAsia="Times New Roman" w:hAnsi="Times New Roman"/>
          <w:sz w:val="18"/>
          <w:szCs w:val="18"/>
          <w:color w:val="231F20"/>
        </w:rPr>
        <w:t>ee Note 7 - Leases in the notes to the unaudited condensed consolidated financial statements set forth in Part I, Item 1 of this Quarterly Report on Form 10-Q.</w:t>
      </w:r>
    </w:p>
    <w:p>
      <w:pPr>
        <w:spacing w:after="0" w:line="200" w:lineRule="exact"/>
        <w:rPr>
          <w:sz w:val="20"/>
          <w:szCs w:val="20"/>
          <w:color w:val="auto"/>
        </w:rPr>
      </w:pPr>
    </w:p>
    <w:p>
      <w:pPr>
        <w:jc w:val="both"/>
        <w:ind w:firstLine="518"/>
        <w:spacing w:after="0" w:line="267" w:lineRule="auto"/>
        <w:rPr>
          <w:sz w:val="20"/>
          <w:szCs w:val="20"/>
          <w:color w:val="auto"/>
        </w:rPr>
      </w:pPr>
      <w:r>
        <w:rPr>
          <w:rFonts w:ascii="Times New Roman" w:cs="Times New Roman" w:eastAsia="Times New Roman" w:hAnsi="Times New Roman"/>
          <w:sz w:val="18"/>
          <w:szCs w:val="18"/>
          <w:i w:val="1"/>
          <w:iCs w:val="1"/>
          <w:color w:val="231F20"/>
        </w:rPr>
        <w:t xml:space="preserve">Purchase commitments. </w:t>
      </w:r>
      <w:r>
        <w:rPr>
          <w:rFonts w:ascii="Times New Roman" w:cs="Times New Roman" w:eastAsia="Times New Roman" w:hAnsi="Times New Roman"/>
          <w:sz w:val="18"/>
          <w:szCs w:val="18"/>
          <w:color w:val="231F20"/>
        </w:rPr>
        <w:t>Our purchase commitments are primarily related to software licenses, cloud hosting services, or performance of certain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 xml:space="preserve">services. For an additional discussion of our purchase commitments, </w:t>
      </w:r>
      <w:r>
        <w:rPr>
          <w:rFonts w:ascii="Times New Roman" w:cs="Times New Roman" w:eastAsia="Times New Roman" w:hAnsi="Times New Roman"/>
          <w:sz w:val="18"/>
          <w:szCs w:val="18"/>
          <w:color w:val="000000"/>
        </w:rPr>
        <w:t>s</w:t>
      </w:r>
      <w:r>
        <w:rPr>
          <w:rFonts w:ascii="Times New Roman" w:cs="Times New Roman" w:eastAsia="Times New Roman" w:hAnsi="Times New Roman"/>
          <w:sz w:val="18"/>
          <w:szCs w:val="18"/>
          <w:color w:val="231F20"/>
        </w:rPr>
        <w:t>ee Note 8 in the notes to the unaudited condensed consolidated financial statements set forth in Part I, Item 1 of this Quarterly Report on Form 10-Q.</w:t>
      </w:r>
    </w:p>
    <w:p>
      <w:pPr>
        <w:spacing w:after="0" w:line="202"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For an additional discussion of our Material Cash Requirements, s</w:t>
      </w:r>
      <w:r>
        <w:rPr>
          <w:rFonts w:ascii="Times New Roman" w:cs="Times New Roman" w:eastAsia="Times New Roman" w:hAnsi="Times New Roman"/>
          <w:sz w:val="18"/>
          <w:szCs w:val="18"/>
          <w:color w:val="231F20"/>
        </w:rPr>
        <w:t>ee Note 8 - Commitments and Contingencies in the notes to the unaudited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condensed consolidated financial statements set forth in Part I, Item 1 of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Indemnification Agreements</w:t>
      </w:r>
    </w:p>
    <w:p>
      <w:pPr>
        <w:spacing w:after="0" w:line="121"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231F20"/>
        </w:rPr>
        <w:t>See Note 8 - Commitments and Contingencies in the notes to the unaudited condensed consolidated financial statements set forth in Part I, Item 1 of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Critical Accounting Estimates</w:t>
      </w:r>
    </w:p>
    <w:p>
      <w:pPr>
        <w:spacing w:after="0" w:line="121"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and the related notes thereto included elsewhere in this Quarterly Report on Form 10-Q are prepared in accordance with GAAP. The preparation of unaudited condensed consolidated financial statements in accordance with GAAP requires us to make certain estimates, judgments, and assumptions that affect the reported amounts of assets and liabilities and the related disclosures as of the date of the financial statements, as well as the reported amounts of revenue and expenses during the period presented. We base our estimates on historical experience and on various other assumptions that we believe to be reasonable under the circumstances. Actual results could differ significantly from our estimates. To the extent that there are differences between our estimates and actual</w:t>
      </w:r>
    </w:p>
    <w:p>
      <w:pPr>
        <w:sectPr>
          <w:pgSz w:w="11900" w:h="16838" w:orient="portrait"/>
          <w:cols w:equalWidth="0" w:num="1">
            <w:col w:w="11240"/>
          </w:cols>
          <w:pgMar w:left="320" w:top="2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our future financial statement presentation, financial condition, results of operations, and cash flows could be affected.</w:t>
      </w:r>
    </w:p>
    <w:p>
      <w:pPr>
        <w:spacing w:after="0" w:line="252"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critical accounting policies and estimates as described in our </w:t>
      </w:r>
      <w:r>
        <w:rPr>
          <w:rFonts w:ascii="Times New Roman" w:cs="Times New Roman" w:eastAsia="Times New Roman" w:hAnsi="Times New Roman"/>
          <w:sz w:val="18"/>
          <w:szCs w:val="18"/>
          <w:color w:val="231F20"/>
        </w:rPr>
        <w:t>Annual Report on Form 10-K for the 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ended December 31, 2025</w:t>
      </w:r>
      <w:r>
        <w:rPr>
          <w:rFonts w:ascii="Times New Roman" w:cs="Times New Roman" w:eastAsia="Times New Roman" w:hAnsi="Times New Roman"/>
          <w:sz w:val="18"/>
          <w:szCs w:val="18"/>
          <w:color w:val="000000"/>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 Accounting Pronouncements</w:t>
      </w:r>
    </w:p>
    <w:p>
      <w:pPr>
        <w:spacing w:after="0" w:line="121"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231F20"/>
        </w:rPr>
        <w:t xml:space="preserve">For more information, see Note 1 - </w:t>
      </w:r>
      <w:r>
        <w:rPr>
          <w:rFonts w:ascii="Times New Roman" w:cs="Times New Roman" w:eastAsia="Times New Roman" w:hAnsi="Times New Roman"/>
          <w:sz w:val="18"/>
          <w:szCs w:val="18"/>
          <w:color w:val="000000"/>
        </w:rPr>
        <w:t>Nature of Business and Summary of Significant Accounting Policies</w:t>
      </w:r>
      <w:r>
        <w:rPr>
          <w:rFonts w:ascii="Times New Roman" w:cs="Times New Roman" w:eastAsia="Times New Roman" w:hAnsi="Times New Roman"/>
          <w:sz w:val="18"/>
          <w:szCs w:val="18"/>
          <w:color w:val="231F20"/>
        </w:rPr>
        <w:t xml:space="preserve"> in the notes to the unaudited condensed consolidated financial statements set forth in Part I, Item 1 of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3. Quantitative and Qualitative Disclosures About Market Risk</w:t>
      </w:r>
    </w:p>
    <w:p>
      <w:pPr>
        <w:spacing w:after="0" w:line="12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231F20"/>
        </w:rPr>
        <w:t xml:space="preserve">Interest rate risk and foreign currency exchange risk are described in Part II, Item 7A, “Quantitative and Qualitative Disclosures About Market Risk” in our Annual Report on Form 10-K for the year ended December 31, 2025. As of </w:t>
      </w:r>
      <w:r>
        <w:rPr>
          <w:rFonts w:ascii="Times New Roman" w:cs="Times New Roman" w:eastAsia="Times New Roman" w:hAnsi="Times New Roman"/>
          <w:sz w:val="18"/>
          <w:szCs w:val="18"/>
          <w:color w:val="000000"/>
        </w:rPr>
        <w:t>March 31, 2026, there have been no material changes to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interest rate and foreign currency exchange risk described as of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Our disclosure controls and procedures are designed to provide reasonable assurance that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including our CEO and CFO, as appropriate, to allow timely decisions regarding required disclosure. Based on such evaluation, our Chief Executive Officer and Chief Financial Officer have concluded that, as of March 31, 2026, our disclosure controls and procedures were effective at a reasonable assurance level.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56"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We are not currently a party to any material pending legal proceedings. From time to time, we may be subject to legal proceedings and claims arising in the ordinary course of business.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231F20"/>
        </w:rPr>
        <w:t>For a discussion of potential risks and uncertainties, see the information in the section titled “Risk Factors” in the Annual Report on Form 10-K for the year ended December 31, 2025. As of the date of this Quarterly Report on Form 10-Q, there have been no material changes from the risk factors disclosed in our Annual Report on Form 10-K for the year ended December 31, 2025. Any of these factors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factors or disclose additional factors from time to time in our future filings with the SEC.</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Use of Proceeds from our IPO</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On March 19, 2024, our registration statement on Form S-1, as amended (File No. 333-277205), was declared effective by the SEC for our initial public offering. There has been no material change in the expected use of the net proceeds from our IPO as described in the final prospectus, dated March 19, 2024 and filed with the SEC on March 21, 2024 pursuant to Rule 424(b) of the Securities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Adoption or Termination of Trading Arrangements</w:t>
      </w:r>
    </w:p>
    <w:p>
      <w:pPr>
        <w:spacing w:after="0" w:line="256"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officers (as defined in Rule 16a-1(f) of the Exchange Act) adopted, terminated or modified a “Rule 10b5-1 trading arrangement” or a “non-Rule 10b5-1 trading agreement” (each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p>
      <w:pPr>
        <w:ind w:right="340" w:firstLine="324"/>
        <w:spacing w:after="0" w:line="278" w:lineRule="auto"/>
        <w:rPr>
          <w:sz w:val="20"/>
          <w:szCs w:val="20"/>
          <w:color w:val="auto"/>
        </w:rPr>
      </w:pPr>
      <w:r>
        <w:rPr>
          <w:rFonts w:ascii="Times New Roman" w:cs="Times New Roman" w:eastAsia="Times New Roman" w:hAnsi="Times New Roman"/>
          <w:sz w:val="18"/>
          <w:szCs w:val="18"/>
          <w:color w:val="231F20"/>
        </w:rPr>
        <w:t>The exhibits listed below are filed as part of this Quarterly Report on Form 10-Q, or are incorporated herein by reference, in each case as indicated below:</w:t>
      </w:r>
    </w:p>
    <w:tbl>
      <w:tblPr>
        <w:tblLayout w:type="fixed"/>
        <w:tblInd w:w="0" w:type="dxa"/>
        <w:tblCellMar>
          <w:top w:w="0" w:type="dxa"/>
          <w:left w:w="0" w:type="dxa"/>
          <w:bottom w:w="0" w:type="dxa"/>
          <w:right w:w="0" w:type="dxa"/>
        </w:tblCellMar>
      </w:tblPr>
      <w:tr>
        <w:trPr>
          <w:trHeight w:val="162"/>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231F20"/>
              </w:rPr>
              <w:t>Exhibit</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Filed</w:t>
            </w:r>
          </w:p>
        </w:tc>
      </w:tr>
      <w:tr>
        <w:trPr>
          <w:trHeight w:val="204"/>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231F20"/>
              </w:rPr>
              <w:t>Number</w:t>
            </w:r>
          </w:p>
        </w:tc>
        <w:tc>
          <w:tcPr>
            <w:tcW w:w="5240" w:type="dxa"/>
            <w:vAlign w:val="bottom"/>
            <w:gridSpan w:val="15"/>
          </w:tcPr>
          <w:p>
            <w:pPr>
              <w:ind w:left="20"/>
              <w:spacing w:after="0"/>
              <w:rPr>
                <w:sz w:val="20"/>
                <w:szCs w:val="20"/>
                <w:color w:val="auto"/>
              </w:rPr>
            </w:pPr>
            <w:r>
              <w:rPr>
                <w:rFonts w:ascii="Times New Roman" w:cs="Times New Roman" w:eastAsia="Times New Roman" w:hAnsi="Times New Roman"/>
                <w:sz w:val="14"/>
                <w:szCs w:val="14"/>
                <w:b w:val="1"/>
                <w:bCs w:val="1"/>
                <w:color w:val="231F20"/>
              </w:rPr>
              <w:t>Exhibit Title</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Herewith</w:t>
            </w:r>
          </w:p>
        </w:tc>
      </w:tr>
      <w:tr>
        <w:trPr>
          <w:trHeight w:val="37"/>
        </w:trPr>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5240" w:type="dxa"/>
            <w:vAlign w:val="bottom"/>
            <w:gridSpan w:val="15"/>
          </w:tcPr>
          <w:p>
            <w:pPr>
              <w:ind w:left="20"/>
              <w:spacing w:after="0" w:line="19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Offer Letter by and between the Registrant and Desmond Lynch, dated</w:t>
              </w:r>
            </w:hyperlink>
          </w:p>
        </w:tc>
        <w:tc>
          <w:tcPr>
            <w:tcW w:w="7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001-41979</w:t>
            </w:r>
          </w:p>
        </w:tc>
        <w:tc>
          <w:tcPr>
            <w:tcW w:w="10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2/10/2026</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00" w:type="dxa"/>
            <w:vAlign w:val="bottom"/>
            <w:tcBorders>
              <w:top w:val="single" w:sz="8" w:color="0000FF"/>
            </w:tcBorders>
            <w:gridSpan w:val="13"/>
          </w:tcPr>
          <w:p>
            <w:pPr>
              <w:ind w:left="20"/>
              <w:spacing w:after="0" w:line="19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February 4, 2026.</w:t>
              </w:r>
            </w:hyperlink>
          </w:p>
        </w:tc>
        <w:tc>
          <w:tcPr>
            <w:tcW w:w="14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4760" w:type="dxa"/>
            <w:vAlign w:val="bottom"/>
            <w:tcBorders>
              <w:bottom w:val="single" w:sz="8" w:color="0000FF"/>
            </w:tcBorders>
            <w:gridSpan w:val="9"/>
          </w:tcPr>
          <w:p>
            <w:pPr>
              <w:ind w:left="20"/>
              <w:spacing w:after="0"/>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Transition Agreement by and between the Registrant and Michael</w:t>
              </w:r>
            </w:hyperlink>
          </w:p>
        </w:tc>
        <w:tc>
          <w:tcPr>
            <w:tcW w:w="480" w:type="dxa"/>
            <w:vAlign w:val="bottom"/>
            <w:gridSpan w:val="6"/>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001-41979</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2/10/2026</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40" w:type="dxa"/>
            <w:vAlign w:val="bottom"/>
            <w:gridSpan w:val="15"/>
          </w:tcPr>
          <w:p>
            <w:pPr>
              <w:ind w:left="20"/>
              <w:spacing w:after="0" w:line="19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Tate, dated February 9, 2026.</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880" w:type="dxa"/>
            <w:vAlign w:val="bottom"/>
            <w:gridSpan w:val="2"/>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10.3†</w:t>
            </w:r>
          </w:p>
        </w:tc>
        <w:tc>
          <w:tcPr>
            <w:tcW w:w="5240" w:type="dxa"/>
            <w:vAlign w:val="bottom"/>
            <w:gridSpan w:val="15"/>
          </w:tcPr>
          <w:p>
            <w:pPr>
              <w:ind w:left="20"/>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Warrant Agreement with Amazon.com NV Investment Holdings,</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001-41979</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2/10/2026</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top w:val="single" w:sz="8" w:color="0000FF"/>
              <w:bottom w:val="single" w:sz="8" w:color="0000FF"/>
            </w:tcBorders>
            <w:gridSpan w:val="4"/>
          </w:tcPr>
          <w:p>
            <w:pPr>
              <w:ind w:left="20"/>
              <w:spacing w:after="0" w:line="196" w:lineRule="exact"/>
              <w:rPr>
                <w:rFonts w:ascii="Times New Roman" w:cs="Times New Roman" w:eastAsia="Times New Roman" w:hAnsi="Times New Roman"/>
                <w:sz w:val="18"/>
                <w:szCs w:val="18"/>
                <w:color w:val="0000FF"/>
                <w:w w:val="98"/>
              </w:rPr>
            </w:pPr>
            <w:hyperlink r:id="rId65">
              <w:r>
                <w:rPr>
                  <w:rFonts w:ascii="Times New Roman" w:cs="Times New Roman" w:eastAsia="Times New Roman" w:hAnsi="Times New Roman"/>
                  <w:sz w:val="18"/>
                  <w:szCs w:val="18"/>
                  <w:color w:val="0000FF"/>
                  <w:w w:val="98"/>
                </w:rPr>
                <w:t>LLC, dated February 5, 2026.</w:t>
              </w:r>
            </w:hyperlink>
          </w:p>
        </w:tc>
        <w:tc>
          <w:tcPr>
            <w:tcW w:w="2540" w:type="dxa"/>
            <w:vAlign w:val="bottom"/>
            <w:tcBorders>
              <w:top w:val="single" w:sz="8" w:color="0000FF"/>
            </w:tcBorders>
            <w:gridSpan w:val="3"/>
          </w:tcPr>
          <w:p>
            <w:pPr>
              <w:spacing w:after="0"/>
              <w:rPr>
                <w:sz w:val="17"/>
                <w:szCs w:val="17"/>
                <w:color w:val="auto"/>
              </w:rPr>
            </w:pPr>
          </w:p>
        </w:tc>
        <w:tc>
          <w:tcPr>
            <w:tcW w:w="54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04"/>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10.4†</w:t>
            </w:r>
          </w:p>
        </w:tc>
        <w:tc>
          <w:tcPr>
            <w:tcW w:w="5240" w:type="dxa"/>
            <w:vAlign w:val="bottom"/>
            <w:gridSpan w:val="15"/>
          </w:tcPr>
          <w:p>
            <w:pPr>
              <w:ind w:left="20"/>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Transaction Agreement, dated as of February 5, 2026, by and between</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001-41979</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2/10/2026</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Borders>
              <w:top w:val="single" w:sz="8" w:color="0000FF"/>
              <w:bottom w:val="single" w:sz="8" w:color="0000FF"/>
            </w:tcBorders>
            <w:gridSpan w:val="5"/>
          </w:tcPr>
          <w:p>
            <w:pPr>
              <w:ind w:left="20"/>
              <w:spacing w:after="0" w:line="196" w:lineRule="exact"/>
              <w:rPr>
                <w:rFonts w:ascii="Times New Roman" w:cs="Times New Roman" w:eastAsia="Times New Roman" w:hAnsi="Times New Roman"/>
                <w:sz w:val="18"/>
                <w:szCs w:val="18"/>
                <w:color w:val="0000FF"/>
                <w:w w:val="98"/>
              </w:rPr>
            </w:pPr>
            <w:hyperlink r:id="rId66">
              <w:r>
                <w:rPr>
                  <w:rFonts w:ascii="Times New Roman" w:cs="Times New Roman" w:eastAsia="Times New Roman" w:hAnsi="Times New Roman"/>
                  <w:sz w:val="18"/>
                  <w:szCs w:val="18"/>
                  <w:color w:val="0000FF"/>
                  <w:w w:val="98"/>
                </w:rPr>
                <w:t>the Company and Amazon, Inc.</w:t>
              </w:r>
            </w:hyperlink>
          </w:p>
        </w:tc>
        <w:tc>
          <w:tcPr>
            <w:tcW w:w="2760" w:type="dxa"/>
            <w:vAlign w:val="bottom"/>
            <w:tcBorders>
              <w:top w:val="single" w:sz="8" w:color="0000FF"/>
            </w:tcBorders>
            <w:gridSpan w:val="7"/>
          </w:tcPr>
          <w:p>
            <w:pPr>
              <w:spacing w:after="0"/>
              <w:rPr>
                <w:sz w:val="17"/>
                <w:szCs w:val="17"/>
                <w:color w:val="auto"/>
              </w:rPr>
            </w:pPr>
          </w:p>
        </w:tc>
        <w:tc>
          <w:tcPr>
            <w:tcW w:w="18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0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31.1</w:t>
            </w:r>
          </w:p>
        </w:tc>
        <w:tc>
          <w:tcPr>
            <w:tcW w:w="100" w:type="dxa"/>
            <w:vAlign w:val="bottom"/>
          </w:tcPr>
          <w:p>
            <w:pPr>
              <w:spacing w:after="0"/>
              <w:rPr>
                <w:sz w:val="24"/>
                <w:szCs w:val="24"/>
                <w:color w:val="auto"/>
              </w:rPr>
            </w:pPr>
          </w:p>
        </w:tc>
        <w:tc>
          <w:tcPr>
            <w:tcW w:w="474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 13a-</w:t>
            </w:r>
          </w:p>
        </w:tc>
        <w:tc>
          <w:tcPr>
            <w:tcW w:w="500" w:type="dxa"/>
            <w:vAlign w:val="bottom"/>
            <w:gridSpan w:val="7"/>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40" w:type="dxa"/>
            <w:vAlign w:val="bottom"/>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FF"/>
              </w:rPr>
              <w:t>14(a)/15d-14(a), as adopted pursuant to Section 302 of the Sarbanes-</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top w:val="single" w:sz="8" w:color="0000FF"/>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3600" w:type="dxa"/>
            <w:vAlign w:val="bottom"/>
            <w:tcBorders>
              <w:top w:val="single" w:sz="8" w:color="0000FF"/>
            </w:tcBorders>
            <w:gridSpan w:val="9"/>
          </w:tcPr>
          <w:p>
            <w:pPr>
              <w:spacing w:after="0"/>
              <w:rPr>
                <w:sz w:val="17"/>
                <w:szCs w:val="17"/>
                <w:color w:val="auto"/>
              </w:rPr>
            </w:pPr>
          </w:p>
        </w:tc>
        <w:tc>
          <w:tcPr>
            <w:tcW w:w="28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0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31.2</w:t>
            </w:r>
          </w:p>
        </w:tc>
        <w:tc>
          <w:tcPr>
            <w:tcW w:w="100" w:type="dxa"/>
            <w:vAlign w:val="bottom"/>
          </w:tcPr>
          <w:p>
            <w:pPr>
              <w:spacing w:after="0"/>
              <w:rPr>
                <w:sz w:val="24"/>
                <w:szCs w:val="24"/>
                <w:color w:val="auto"/>
              </w:rPr>
            </w:pPr>
          </w:p>
        </w:tc>
        <w:tc>
          <w:tcPr>
            <w:tcW w:w="524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gridSpan w:val="6"/>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40" w:type="dxa"/>
            <w:vAlign w:val="bottom"/>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FF"/>
              </w:rPr>
              <w:t>14(a)/15d-14(a), as adopted pursuant to Section 302 of the Sarbanes-</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top w:val="single" w:sz="8" w:color="0000FF"/>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3600" w:type="dxa"/>
            <w:vAlign w:val="bottom"/>
            <w:tcBorders>
              <w:top w:val="single" w:sz="8" w:color="0000FF"/>
            </w:tcBorders>
            <w:gridSpan w:val="9"/>
          </w:tcPr>
          <w:p>
            <w:pPr>
              <w:spacing w:after="0"/>
              <w:rPr>
                <w:sz w:val="17"/>
                <w:szCs w:val="17"/>
                <w:color w:val="auto"/>
              </w:rPr>
            </w:pPr>
          </w:p>
        </w:tc>
        <w:tc>
          <w:tcPr>
            <w:tcW w:w="28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0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32.1*</w:t>
            </w:r>
          </w:p>
        </w:tc>
        <w:tc>
          <w:tcPr>
            <w:tcW w:w="100" w:type="dxa"/>
            <w:vAlign w:val="bottom"/>
          </w:tcPr>
          <w:p>
            <w:pPr>
              <w:spacing w:after="0"/>
              <w:rPr>
                <w:sz w:val="24"/>
                <w:szCs w:val="24"/>
                <w:color w:val="auto"/>
              </w:rPr>
            </w:pPr>
          </w:p>
        </w:tc>
        <w:tc>
          <w:tcPr>
            <w:tcW w:w="474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w:t>
            </w:r>
          </w:p>
        </w:tc>
        <w:tc>
          <w:tcPr>
            <w:tcW w:w="500" w:type="dxa"/>
            <w:vAlign w:val="bottom"/>
            <w:gridSpan w:val="7"/>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80" w:type="dxa"/>
            <w:vAlign w:val="bottom"/>
            <w:tcBorders>
              <w:bottom w:val="single" w:sz="8" w:color="0000FF"/>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 of the Sarbanes-</w:t>
            </w:r>
          </w:p>
        </w:tc>
        <w:tc>
          <w:tcPr>
            <w:tcW w:w="46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3880" w:type="dxa"/>
            <w:vAlign w:val="bottom"/>
            <w:gridSpan w:val="13"/>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0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32.2*</w:t>
            </w:r>
          </w:p>
        </w:tc>
        <w:tc>
          <w:tcPr>
            <w:tcW w:w="100" w:type="dxa"/>
            <w:vAlign w:val="bottom"/>
          </w:tcPr>
          <w:p>
            <w:pPr>
              <w:spacing w:after="0"/>
              <w:rPr>
                <w:sz w:val="24"/>
                <w:szCs w:val="24"/>
                <w:color w:val="auto"/>
              </w:rPr>
            </w:pPr>
          </w:p>
        </w:tc>
        <w:tc>
          <w:tcPr>
            <w:tcW w:w="524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gridSpan w:val="6"/>
            <w:shd w:val="clear" w:color="auto" w:fill="0000FF"/>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80" w:type="dxa"/>
            <w:vAlign w:val="bottom"/>
            <w:tcBorders>
              <w:bottom w:val="single" w:sz="8" w:color="0000FF"/>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 of the Sarbanes-</w:t>
            </w:r>
          </w:p>
        </w:tc>
        <w:tc>
          <w:tcPr>
            <w:tcW w:w="46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3880" w:type="dxa"/>
            <w:vAlign w:val="bottom"/>
            <w:gridSpan w:val="13"/>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26"/>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101. INS</w:t>
            </w:r>
          </w:p>
        </w:tc>
        <w:tc>
          <w:tcPr>
            <w:tcW w:w="524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4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24"/>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101. SCH</w:t>
            </w:r>
          </w:p>
        </w:tc>
        <w:tc>
          <w:tcPr>
            <w:tcW w:w="524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auto"/>
              </w:rPr>
              <w:t>Inline XBRL Schema Document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4"/>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101. CA:</w:t>
            </w:r>
          </w:p>
        </w:tc>
        <w:tc>
          <w:tcPr>
            <w:tcW w:w="524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4"/>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101 DEF</w:t>
            </w:r>
          </w:p>
        </w:tc>
        <w:tc>
          <w:tcPr>
            <w:tcW w:w="524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auto"/>
              </w:rPr>
              <w:t>Inline XBRL Definition Linkbase Document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4"/>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101. LAB</w:t>
            </w:r>
          </w:p>
        </w:tc>
        <w:tc>
          <w:tcPr>
            <w:tcW w:w="524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auto"/>
              </w:rPr>
              <w:t>Inline XBRL Labels Linkbase Document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4"/>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 PRE</w:t>
            </w:r>
          </w:p>
        </w:tc>
        <w:tc>
          <w:tcPr>
            <w:tcW w:w="524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90" w:lineRule="exact"/>
        <w:rPr>
          <w:sz w:val="20"/>
          <w:szCs w:val="20"/>
          <w:color w:val="auto"/>
        </w:rPr>
      </w:pPr>
    </w:p>
    <w:p>
      <w:pPr>
        <w:ind w:left="900" w:right="5380" w:hanging="874"/>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contained in Exhibit 101).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7" w:lineRule="exact"/>
        <w:rPr>
          <w:sz w:val="20"/>
          <w:szCs w:val="20"/>
          <w:color w:val="auto"/>
        </w:rPr>
      </w:pPr>
    </w:p>
    <w:p>
      <w:pPr>
        <w:ind w:firstLine="8"/>
        <w:spacing w:after="0" w:line="250" w:lineRule="auto"/>
        <w:tabs>
          <w:tab w:leader="none" w:pos="2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Quarterly Report on Form 10-Q are deemed “furnished” and not “filed” for purposes of Section 18 of the Exchange Act. Such certifications will not be deemed to be incorporated by reference into any filings under the Securities Act or the Exchange Act, except to the extent specifically incorporated by reference into such filing.</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contract or agreement.</w:t>
      </w:r>
    </w:p>
    <w:p>
      <w:pPr>
        <w:spacing w:after="0" w:line="9"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information contained in this exhibit has been omitted because it is both (i) not material and (ii) is the type that the Registrant treats as private or confidential.</w:t>
      </w:r>
    </w:p>
    <w:p>
      <w:pPr>
        <w:sectPr>
          <w:pgSz w:w="11900" w:h="16838" w:orient="portrait"/>
          <w:cols w:equalWidth="0" w:num="1">
            <w:col w:w="11240"/>
          </w:cols>
          <w:pgMar w:left="320" w:top="2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SIGNATURES</w:t>
      </w:r>
    </w:p>
    <w:p>
      <w:pPr>
        <w:spacing w:after="0" w:line="233" w:lineRule="exact"/>
        <w:rPr>
          <w:sz w:val="20"/>
          <w:szCs w:val="20"/>
          <w:color w:val="auto"/>
        </w:rPr>
      </w:pPr>
    </w:p>
    <w:p>
      <w:pPr>
        <w:ind w:firstLine="324"/>
        <w:spacing w:after="0" w:line="295" w:lineRule="auto"/>
        <w:rPr>
          <w:sz w:val="20"/>
          <w:szCs w:val="20"/>
          <w:color w:val="auto"/>
        </w:rPr>
      </w:pPr>
      <w:r>
        <w:rPr>
          <w:rFonts w:ascii="Times New Roman" w:cs="Times New Roman" w:eastAsia="Times New Roman" w:hAnsi="Times New Roman"/>
          <w:sz w:val="18"/>
          <w:szCs w:val="18"/>
          <w:color w:val="231F20"/>
        </w:rPr>
        <w:t xml:space="preserve">Pursuant to the requirements of the Securities Exchange Act of 1934, as amended, the </w:t>
      </w:r>
      <w:r>
        <w:rPr>
          <w:rFonts w:ascii="Times New Roman" w:cs="Times New Roman" w:eastAsia="Times New Roman" w:hAnsi="Times New Roman"/>
          <w:sz w:val="21"/>
          <w:szCs w:val="21"/>
          <w:color w:val="231F20"/>
        </w:rPr>
        <w:t>r</w:t>
      </w:r>
      <w:r>
        <w:rPr>
          <w:rFonts w:ascii="Times New Roman" w:cs="Times New Roman" w:eastAsia="Times New Roman" w:hAnsi="Times New Roman"/>
          <w:sz w:val="18"/>
          <w:szCs w:val="18"/>
          <w:color w:val="231F20"/>
        </w:rPr>
        <w:t>egistrant has duly caused this report to be signed on its behalf by the undersigned, thereunto duly authorized</w:t>
      </w:r>
      <w:r>
        <w:rPr>
          <w:rFonts w:ascii="Times New Roman" w:cs="Times New Roman" w:eastAsia="Times New Roman" w:hAnsi="Times New Roman"/>
          <w:sz w:val="21"/>
          <w:szCs w:val="21"/>
          <w:color w:val="231F20"/>
        </w:rPr>
        <w:t>.</w:t>
      </w:r>
    </w:p>
    <w:p>
      <w:pPr>
        <w:spacing w:after="0" w:line="18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231F20"/>
        </w:rPr>
        <w:t>ASTERA LABS, INC.</w:t>
      </w:r>
    </w:p>
    <w:p>
      <w:pPr>
        <w:spacing w:after="0" w:line="283" w:lineRule="exact"/>
        <w:rPr>
          <w:sz w:val="20"/>
          <w:szCs w:val="20"/>
          <w:color w:val="auto"/>
        </w:rPr>
      </w:pPr>
    </w:p>
    <w:p>
      <w:pPr>
        <w:ind w:left="20"/>
        <w:spacing w:after="0"/>
        <w:tabs>
          <w:tab w:leader="none" w:pos="590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7"/>
          <w:szCs w:val="17"/>
          <w:color w:val="231F20"/>
        </w:rPr>
        <w:t>By: /s/ Desmond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34290</wp:posOffset>
            </wp:positionV>
            <wp:extent cx="16027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4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231F20"/>
        </w:rPr>
        <w:t xml:space="preserve">Name: </w:t>
      </w:r>
      <w:r>
        <w:rPr>
          <w:rFonts w:ascii="Times New Roman" w:cs="Times New Roman" w:eastAsia="Times New Roman" w:hAnsi="Times New Roman"/>
          <w:sz w:val="18"/>
          <w:szCs w:val="18"/>
          <w:color w:val="000000"/>
        </w:rPr>
        <w:t>Desmond Lynch</w:t>
      </w:r>
    </w:p>
    <w:p>
      <w:pPr>
        <w:spacing w:after="0" w:line="7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231F20"/>
        </w:rPr>
        <w:t xml:space="preserve">Title: </w:t>
      </w:r>
      <w:r>
        <w:rPr>
          <w:rFonts w:ascii="Times New Roman" w:cs="Times New Roman" w:eastAsia="Times New Roman" w:hAnsi="Times New Roman"/>
          <w:sz w:val="18"/>
          <w:szCs w:val="18"/>
          <w:color w:val="000000"/>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269"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Jitendra Mohan, certify that:</w:t>
      </w:r>
    </w:p>
    <w:p>
      <w:pPr>
        <w:spacing w:after="0" w:line="25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Astera Labs,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7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2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1300" w:hanging="320"/>
        <w:spacing w:after="0" w:line="282" w:lineRule="auto"/>
        <w:tabs>
          <w:tab w:leader="none" w:pos="123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4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4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4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4960" w:type="dxa"/>
            <w:vAlign w:val="bottom"/>
            <w:gridSpan w:val="3"/>
          </w:tcPr>
          <w:p>
            <w:pPr>
              <w:ind w:left="2560"/>
              <w:spacing w:after="0"/>
              <w:rPr>
                <w:sz w:val="20"/>
                <w:szCs w:val="20"/>
                <w:color w:val="auto"/>
              </w:rPr>
            </w:pPr>
            <w:r>
              <w:rPr>
                <w:rFonts w:ascii="Times New Roman" w:cs="Times New Roman" w:eastAsia="Times New Roman" w:hAnsi="Times New Roman"/>
                <w:sz w:val="18"/>
                <w:szCs w:val="18"/>
                <w:color w:val="auto"/>
              </w:rPr>
              <w:t>By: /s/ Jitendra Mohan</w:t>
            </w:r>
          </w:p>
        </w:tc>
      </w:tr>
      <w:tr>
        <w:trPr>
          <w:trHeight w:val="218"/>
        </w:trPr>
        <w:tc>
          <w:tcPr>
            <w:tcW w:w="3720" w:type="dxa"/>
            <w:vAlign w:val="bottom"/>
          </w:tcPr>
          <w:p>
            <w:pPr>
              <w:spacing w:after="0"/>
              <w:rPr>
                <w:sz w:val="18"/>
                <w:szCs w:val="18"/>
                <w:color w:val="auto"/>
              </w:rPr>
            </w:pPr>
          </w:p>
        </w:tc>
        <w:tc>
          <w:tcPr>
            <w:tcW w:w="2840" w:type="dxa"/>
            <w:vAlign w:val="bottom"/>
          </w:tcPr>
          <w:p>
            <w:pPr>
              <w:ind w:left="2340"/>
              <w:spacing w:after="0"/>
              <w:rPr>
                <w:sz w:val="20"/>
                <w:szCs w:val="20"/>
                <w:color w:val="auto"/>
              </w:rPr>
            </w:pPr>
            <w:r>
              <w:rPr>
                <w:rFonts w:ascii="Times New Roman" w:cs="Times New Roman" w:eastAsia="Times New Roman" w:hAnsi="Times New Roman"/>
                <w:sz w:val="18"/>
                <w:szCs w:val="18"/>
                <w:color w:val="auto"/>
                <w:w w:val="99"/>
              </w:rPr>
              <w:t>Name:</w:t>
            </w: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Jitendra Mohan</w:t>
            </w:r>
          </w:p>
        </w:tc>
        <w:tc>
          <w:tcPr>
            <w:tcW w:w="260" w:type="dxa"/>
            <w:vAlign w:val="bottom"/>
          </w:tcPr>
          <w:p>
            <w:pPr>
              <w:spacing w:after="0"/>
              <w:rPr>
                <w:sz w:val="18"/>
                <w:szCs w:val="18"/>
                <w:color w:val="auto"/>
              </w:rPr>
            </w:pPr>
          </w:p>
        </w:tc>
      </w:tr>
      <w:tr>
        <w:trPr>
          <w:trHeight w:val="229"/>
        </w:trPr>
        <w:tc>
          <w:tcPr>
            <w:tcW w:w="3720" w:type="dxa"/>
            <w:vAlign w:val="bottom"/>
          </w:tcPr>
          <w:p>
            <w:pPr>
              <w:spacing w:after="0"/>
              <w:rPr>
                <w:sz w:val="19"/>
                <w:szCs w:val="19"/>
                <w:color w:val="auto"/>
              </w:rPr>
            </w:pPr>
          </w:p>
        </w:tc>
        <w:tc>
          <w:tcPr>
            <w:tcW w:w="4960" w:type="dxa"/>
            <w:vAlign w:val="bottom"/>
            <w:gridSpan w:val="3"/>
          </w:tcPr>
          <w:p>
            <w:pPr>
              <w:ind w:left="2440"/>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34"/>
        </w:trPr>
        <w:tc>
          <w:tcPr>
            <w:tcW w:w="37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bl>
    <w:p>
      <w:pPr>
        <w:sectPr>
          <w:pgSz w:w="11900" w:h="16838" w:orient="portrait"/>
          <w:cols w:equalWidth="0" w:num="1">
            <w:col w:w="11240"/>
          </w:cols>
          <w:pgMar w:left="320" w:top="360"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Desmond Lynch, certify that:</w:t>
      </w:r>
    </w:p>
    <w:p>
      <w:pPr>
        <w:spacing w:after="0" w:line="25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Astera Labs,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8"/>
          <w:szCs w:val="18"/>
          <w:color w:val="auto"/>
        </w:rPr>
      </w:pPr>
    </w:p>
    <w:p>
      <w:pPr>
        <w:ind w:left="1300" w:hanging="320"/>
        <w:spacing w:after="0" w:line="282" w:lineRule="auto"/>
        <w:tabs>
          <w:tab w:leader="none" w:pos="123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4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4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4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5540" w:type="dxa"/>
            <w:vAlign w:val="bottom"/>
            <w:gridSpan w:val="2"/>
          </w:tcPr>
          <w:p>
            <w:pPr>
              <w:ind w:left="2580"/>
              <w:spacing w:after="0"/>
              <w:rPr>
                <w:sz w:val="20"/>
                <w:szCs w:val="20"/>
                <w:color w:val="auto"/>
              </w:rPr>
            </w:pPr>
            <w:r>
              <w:rPr>
                <w:rFonts w:ascii="Times New Roman" w:cs="Times New Roman" w:eastAsia="Times New Roman" w:hAnsi="Times New Roman"/>
                <w:sz w:val="18"/>
                <w:szCs w:val="18"/>
                <w:color w:val="auto"/>
              </w:rPr>
              <w:t>By: /s/ Desmond Lynch</w:t>
            </w:r>
          </w:p>
        </w:tc>
      </w:tr>
      <w:tr>
        <w:trPr>
          <w:trHeight w:val="218"/>
        </w:trPr>
        <w:tc>
          <w:tcPr>
            <w:tcW w:w="3720" w:type="dxa"/>
            <w:vAlign w:val="bottom"/>
          </w:tcPr>
          <w:p>
            <w:pPr>
              <w:spacing w:after="0"/>
              <w:rPr>
                <w:sz w:val="18"/>
                <w:szCs w:val="18"/>
                <w:color w:val="auto"/>
              </w:rPr>
            </w:pPr>
          </w:p>
        </w:tc>
        <w:tc>
          <w:tcPr>
            <w:tcW w:w="2860" w:type="dxa"/>
            <w:vAlign w:val="bottom"/>
          </w:tcPr>
          <w:p>
            <w:pPr>
              <w:ind w:left="2360"/>
              <w:spacing w:after="0"/>
              <w:rPr>
                <w:sz w:val="20"/>
                <w:szCs w:val="20"/>
                <w:color w:val="auto"/>
              </w:rPr>
            </w:pPr>
            <w:r>
              <w:rPr>
                <w:rFonts w:ascii="Times New Roman" w:cs="Times New Roman" w:eastAsia="Times New Roman" w:hAnsi="Times New Roman"/>
                <w:sz w:val="18"/>
                <w:szCs w:val="18"/>
                <w:color w:val="auto"/>
                <w:w w:val="99"/>
              </w:rPr>
              <w:t>Name:</w:t>
            </w:r>
          </w:p>
        </w:tc>
        <w:tc>
          <w:tcPr>
            <w:tcW w:w="2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Desmond Lynch</w:t>
            </w:r>
          </w:p>
        </w:tc>
      </w:tr>
      <w:tr>
        <w:trPr>
          <w:trHeight w:val="230"/>
        </w:trPr>
        <w:tc>
          <w:tcPr>
            <w:tcW w:w="3720" w:type="dxa"/>
            <w:vAlign w:val="bottom"/>
          </w:tcPr>
          <w:p>
            <w:pPr>
              <w:spacing w:after="0"/>
              <w:rPr>
                <w:sz w:val="19"/>
                <w:szCs w:val="19"/>
                <w:color w:val="auto"/>
              </w:rPr>
            </w:pPr>
          </w:p>
        </w:tc>
        <w:tc>
          <w:tcPr>
            <w:tcW w:w="554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234"/>
        </w:trPr>
        <w:tc>
          <w:tcPr>
            <w:tcW w:w="37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360"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18 U.S.C. SECTION 1350, AS ADOPTED PURSUANT TO SECTION 906 OF THE SARBANES-OXLEY ACT OF 2002</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of Astera Labs, Inc. (the “Company”) for the fiscal quarter ended March 31, 2026 as filed with the Securities and Exchange Commission on the date hereof (the “Report”), I, Jitendra Mohan, Chief Executive Officer of the Company, hereby certify, pursuant to 18 U.S.C. Section 1350, as adopted pursuant to Section 906 of the Sarbanes-Oxley Act of 2002, that to the best of my knowledge:</w:t>
      </w:r>
    </w:p>
    <w:p>
      <w:pPr>
        <w:spacing w:after="0" w:line="271" w:lineRule="exact"/>
        <w:rPr>
          <w:sz w:val="20"/>
          <w:szCs w:val="20"/>
          <w:color w:val="auto"/>
        </w:rPr>
      </w:pPr>
    </w:p>
    <w:p>
      <w:pPr>
        <w:ind w:left="920" w:hanging="264"/>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60" w:right="660" w:hanging="4"/>
        <w:spacing w:after="0" w:line="282" w:lineRule="auto"/>
        <w:tabs>
          <w:tab w:leader="none" w:pos="9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704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7"/>
          <w:szCs w:val="17"/>
          <w:color w:val="auto"/>
        </w:rPr>
        <w:t>By: /s/ Jitendra Mohan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17145</wp:posOffset>
            </wp:positionV>
            <wp:extent cx="12344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Name: Jitendra Mohan</w:t>
      </w:r>
    </w:p>
    <w:p>
      <w:pPr>
        <w:spacing w:after="0" w:line="2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89"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This certification is being furnished pursuant to Section 906 of the Sarbanes-Oxley Act of 2002 and shall not be deemed “filed” for purposes of Section 18 of the Securities Exchange Act of 1934, or otherwise subject to the liability of that section. This certification will not be deemed to be incorporated by reference into any filing under the Securities Act of 1933 or the Securities Exchange Act of 1934.</w:t>
      </w:r>
    </w:p>
    <w:p>
      <w:pPr>
        <w:sectPr>
          <w:pgSz w:w="11900" w:h="16838" w:orient="portrait"/>
          <w:cols w:equalWidth="0" w:num="1">
            <w:col w:w="11240"/>
          </w:cols>
          <w:pgMar w:left="320" w:top="360"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18 U.S.C. SECTION 1350, AS ADOPTED PURSUANT TO SECTION 906 OF THE SARBANES-OXLEY ACT OF 2002</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Astera Labs, Inc. (the “Company”) for the fiscal quarter ended March 31, 2026 as filed with the Securities and Exchange Commission on the date hereof (the “Report”), I, Desmond Lynch, Chief Financial Officer of the Company, hereby certify, pursuant to 18 U.S.C. Section 1350, as adopted pursuant to Section 906 of the Sarbanes-Oxley Act of 2002, that to the best of my knowledge:</w:t>
      </w:r>
    </w:p>
    <w:p>
      <w:pPr>
        <w:spacing w:after="0" w:line="257" w:lineRule="exact"/>
        <w:rPr>
          <w:sz w:val="20"/>
          <w:szCs w:val="20"/>
          <w:color w:val="auto"/>
        </w:rPr>
      </w:pPr>
    </w:p>
    <w:p>
      <w:pPr>
        <w:ind w:left="920" w:hanging="264"/>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60" w:hanging="4"/>
        <w:spacing w:after="0" w:line="282" w:lineRule="auto"/>
        <w:tabs>
          <w:tab w:leader="none" w:pos="9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648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7"/>
          <w:szCs w:val="17"/>
          <w:color w:val="auto"/>
        </w:rPr>
        <w:t>By: /s/ Desmond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16802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Name: Desmond Lynch</w:t>
      </w:r>
    </w:p>
    <w:p>
      <w:pPr>
        <w:spacing w:after="0" w:line="2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2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89" w:lineRule="exact"/>
        <w:rPr>
          <w:sz w:val="20"/>
          <w:szCs w:val="20"/>
          <w:color w:val="auto"/>
        </w:rPr>
      </w:pPr>
    </w:p>
    <w:p>
      <w:pPr>
        <w:jc w:val="both"/>
        <w:ind w:right="20" w:firstLine="324"/>
        <w:spacing w:after="0" w:line="242" w:lineRule="auto"/>
        <w:rPr>
          <w:sz w:val="20"/>
          <w:szCs w:val="20"/>
          <w:color w:val="auto"/>
        </w:rPr>
      </w:pPr>
      <w:r>
        <w:rPr>
          <w:rFonts w:ascii="Times New Roman" w:cs="Times New Roman" w:eastAsia="Times New Roman" w:hAnsi="Times New Roman"/>
          <w:sz w:val="18"/>
          <w:szCs w:val="18"/>
          <w:color w:val="auto"/>
        </w:rPr>
        <w:t>This certification is being furnished pursuant to Section 906 of the Sarbanes-Oxley Act of 2002 and shall not be deemed “filed” for purposes of Section 18 of the Securities Exchange Act of 1934, or otherwise subject to the liability of that section. This certification will not be deemed to be incorporated by reference into any filing under the Securities Act of 1933 or the Securities Exchange Act of 1934.</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499"/>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04"/>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63" Type="http://schemas.openxmlformats.org/officeDocument/2006/relationships/hyperlink" Target="https://www.sec.gov/Archives/edgar/data/1736297/000110465926012649/tm265461d2_ex10-2.htm" TargetMode="External"/><Relationship Id="rId64" Type="http://schemas.openxmlformats.org/officeDocument/2006/relationships/hyperlink" Target="https://www.sec.gov/Archives/edgar/data/1736297/000110465926012649/tm265461d2_ex10-1.htm" TargetMode="External"/><Relationship Id="rId65" Type="http://schemas.openxmlformats.org/officeDocument/2006/relationships/hyperlink" Target="https://www.sec.gov/Archives/edgar/data/1736297/000110465926012606/tm265461d1_ex4-1.htm" TargetMode="External"/><Relationship Id="rId66" Type="http://schemas.openxmlformats.org/officeDocument/2006/relationships/hyperlink" Target="https://www.sec.gov/Archives/edgar/data/1736297/000110465926012606/tm265461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2026-05-06T05:07:11Z</dcterms:created>
  <dcterms:modified xsi:type="dcterms:W3CDTF">2026-05-06T05:07:11Z</dcterms:modified>
</cp:coreProperties>
</file>