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As filed with the U.S. Securities and Exchange Commission on May 5, 2026 </w:t>
      </w:r>
    </w:p>
    <w:p>
      <w:pPr>
        <w:pStyle w:val="TextBody"/>
        <w:bidi w:val="0"/>
        <w:spacing w:lineRule="auto" w:line="333" w:before="120" w:after="283"/>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333"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333" w:before="8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333" w:before="80" w:after="283"/>
        <w:jc w:val="center"/>
        <w:rPr>
          <w:rFonts w:ascii="Times New Roman;serif" w:hAnsi="Times New Roman;serif"/>
          <w:b/>
          <w:color w:val="000000"/>
          <w:sz w:val="28"/>
        </w:rPr>
      </w:pPr>
      <w:r>
        <w:rPr>
          <w:rFonts w:ascii="Times New Roman;serif" w:hAnsi="Times New Roman;serif"/>
          <w:b/>
          <w:color w:val="000000"/>
          <w:sz w:val="28"/>
        </w:rPr>
        <w:t>FORM S-8 </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 xml:space="preserve">REGISTRATION STATEMENT </w:t>
      </w:r>
    </w:p>
    <w:p>
      <w:pPr>
        <w:pStyle w:val="TextBody"/>
        <w:bidi w:val="0"/>
        <w:spacing w:lineRule="auto" w:line="333"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333" w:before="0" w:after="0"/>
        <w:jc w:val="center"/>
        <w:rPr/>
      </w:pPr>
      <w:r>
        <w:rPr>
          <w:rFonts w:ascii="Times New Roman;serif" w:hAnsi="Times New Roman;serif"/>
          <w:b/>
          <w:i/>
          <w:color w:val="000000"/>
          <w:sz w:val="20"/>
        </w:rPr>
        <w:t xml:space="preserve">THE SECURITIES ACT OF 1933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333" w:before="80" w:after="283"/>
        <w:jc w:val="center"/>
        <w:rPr>
          <w:rFonts w:ascii="Times New Roman;serif" w:hAnsi="Times New Roman;serif"/>
          <w:b/>
          <w:color w:val="000000"/>
          <w:sz w:val="36"/>
        </w:rPr>
      </w:pPr>
      <w:r>
        <w:rPr>
          <w:rFonts w:ascii="Times New Roman;serif" w:hAnsi="Times New Roman;serif"/>
          <w:b/>
          <w:color w:val="000000"/>
          <w:sz w:val="36"/>
        </w:rPr>
        <w:t xml:space="preserve">Astera Labs, Inc. </w:t>
      </w:r>
    </w:p>
    <w:p>
      <w:pPr>
        <w:pStyle w:val="TextBody"/>
        <w:bidi w:val="0"/>
        <w:spacing w:lineRule="auto" w:line="333"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tbl>
      <w:tblPr>
        <w:tblW w:w="5480" w:type="dxa"/>
        <w:jc w:val="left"/>
        <w:tblInd w:w="0" w:type="dxa"/>
        <w:tblLayout w:type="fixed"/>
        <w:tblCellMar>
          <w:top w:w="28" w:type="dxa"/>
          <w:left w:w="28" w:type="dxa"/>
          <w:bottom w:w="28" w:type="dxa"/>
          <w:right w:w="28" w:type="dxa"/>
        </w:tblCellMar>
      </w:tblPr>
      <w:tblGrid>
        <w:gridCol w:w="124"/>
        <w:gridCol w:w="109"/>
        <w:gridCol w:w="109"/>
        <w:gridCol w:w="996"/>
        <w:gridCol w:w="996"/>
        <w:gridCol w:w="1007"/>
        <w:gridCol w:w="109"/>
        <w:gridCol w:w="109"/>
        <w:gridCol w:w="109"/>
        <w:gridCol w:w="479"/>
        <w:gridCol w:w="479"/>
        <w:gridCol w:w="4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82-3437062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333"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33"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2345 North First Street</w:t>
            </w:r>
          </w:p>
          <w:p>
            <w:pPr>
              <w:pStyle w:val="TableContents"/>
              <w:bidi w:val="0"/>
              <w:spacing w:lineRule="auto" w:line="333" w:before="0" w:after="20"/>
              <w:jc w:val="center"/>
              <w:rPr>
                <w:rFonts w:ascii="Times New Roman;serif" w:hAnsi="Times New Roman;serif"/>
                <w:b/>
                <w:color w:val="000000"/>
                <w:sz w:val="20"/>
              </w:rPr>
            </w:pPr>
            <w:r>
              <w:rPr>
                <w:rFonts w:ascii="Times New Roman;serif" w:hAnsi="Times New Roman;serif"/>
                <w:b/>
                <w:color w:val="000000"/>
                <w:sz w:val="20"/>
              </w:rPr>
              <w:t>San Jose, 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2024 Stock Option and Incentive Plan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2024 Employee Stock Purchase Plan </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 xml:space="preserve">(Full titles of the plans)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Philip T. Mazzara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General Counsel &amp; Secretary</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Astera Labs, Inc. </w:t>
      </w:r>
    </w:p>
    <w:p>
      <w:pPr>
        <w:pStyle w:val="TextBody"/>
        <w:bidi w:val="0"/>
        <w:spacing w:lineRule="auto" w:line="333" w:before="0" w:after="20"/>
        <w:jc w:val="center"/>
        <w:rPr>
          <w:rFonts w:ascii="Times New Roman;serif" w:hAnsi="Times New Roman;serif"/>
          <w:b/>
          <w:color w:val="000000"/>
          <w:sz w:val="20"/>
        </w:rPr>
      </w:pPr>
      <w:r>
        <w:rPr>
          <w:rFonts w:ascii="Times New Roman;serif" w:hAnsi="Times New Roman;serif"/>
          <w:b/>
          <w:color w:val="000000"/>
          <w:sz w:val="20"/>
        </w:rPr>
        <w:t>2345 North First Street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San Jose, CA 95131</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 xml:space="preserve">(Name and address of agent for service) </w:t>
      </w:r>
    </w:p>
    <w:p>
      <w:pPr>
        <w:pStyle w:val="TextBody"/>
        <w:bidi w:val="0"/>
        <w:spacing w:lineRule="auto" w:line="333" w:before="120" w:after="283"/>
        <w:jc w:val="center"/>
        <w:rPr>
          <w:rFonts w:ascii="Times New Roman;serif" w:hAnsi="Times New Roman;serif"/>
          <w:b/>
          <w:color w:val="000000"/>
          <w:sz w:val="20"/>
        </w:rPr>
      </w:pPr>
      <w:r>
        <w:rPr>
          <w:rFonts w:ascii="Times New Roman;serif" w:hAnsi="Times New Roman;serif"/>
          <w:b/>
          <w:color w:val="000000"/>
          <w:sz w:val="20"/>
        </w:rPr>
        <w:t>(408) 766-3806 </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 xml:space="preserve">(Telephone number, including area code, of agent for service)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i/>
          <w:color w:val="000000"/>
          <w:sz w:val="20"/>
        </w:rPr>
      </w:pPr>
      <w:r>
        <w:rPr>
          <w:rFonts w:ascii="Times New Roman;serif" w:hAnsi="Times New Roman;serif"/>
          <w:b/>
          <w:i/>
          <w:color w:val="000000"/>
          <w:sz w:val="20"/>
        </w:rPr>
        <w:t xml:space="preserve">Copies to: </w:t>
      </w:r>
    </w:p>
    <w:tbl>
      <w:tblPr>
        <w:tblW w:w="33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9"/>
        <w:gridCol w:w="739"/>
        <w:gridCol w:w="742"/>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Bradley C. Weber</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Julia R. White</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Goodwin Procter LLP</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601 Marshall Street</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Redwood City, CA 94063</w:t>
            </w:r>
          </w:p>
          <w:p>
            <w:pPr>
              <w:pStyle w:val="TableContents"/>
              <w:bidi w:val="0"/>
              <w:spacing w:lineRule="auto" w:line="333" w:before="0" w:after="20"/>
              <w:jc w:val="center"/>
              <w:rPr>
                <w:rFonts w:ascii="Times New Roman;serif" w:hAnsi="Times New Roman;serif"/>
                <w:b/>
                <w:color w:val="000000"/>
                <w:sz w:val="20"/>
              </w:rPr>
            </w:pPr>
            <w:r>
              <w:rPr>
                <w:rFonts w:ascii="Times New Roman;serif" w:hAnsi="Times New Roman;serif"/>
                <w:b/>
                <w:color w:val="000000"/>
                <w:sz w:val="20"/>
              </w:rPr>
              <w:t>(650) 752-3100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333" w:before="12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33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33" w:before="12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ind w:left="0" w:right="0" w:firstLine="720"/>
        <w:jc w:val="both"/>
        <w:rPr/>
      </w:pPr>
      <w:r>
        <w:rPr>
          <w:rFonts w:ascii="Times New Roman;serif" w:hAnsi="Times New Roman;serif"/>
          <w:b w:val="false"/>
          <w:color w:val="000000"/>
          <w:sz w:val="20"/>
        </w:rPr>
        <w:t>This Registration Statement on Form S-8 is being filed by Astera Labs, Inc. (the “Company”) for the purpose of registering an additional 8,509,275 shares of its common stock, par value $0.0001 per share (“Common Stock”), that have become available for issuance pursuant to the Astera Labs, Inc. 2024 Stock Option and Incentive Plan (“2024 Plan”) and an additional 1,701,861 shares of Common Stock that have become available for issuance pursuant to the Astera Labs, Inc. 2024 Employee Stock Purchase Plan (“2024 ESPP”). These shares are securities of the same class as other securities for which registration statements on Form S-8 were filed with the U.S. Securities and Exchange Commission (the “Commission”) on June 18, 2025 (</w:t>
      </w:r>
      <w:hyperlink r:id="rId2">
        <w:r>
          <w:rPr>
            <w:rStyle w:val="InternetLink"/>
          </w:rPr>
          <w:t>Commission File No. 333-28814</w:t>
        </w:r>
      </w:hyperlink>
      <w:hyperlink r:id="rId3">
        <w:r>
          <w:rPr>
            <w:rStyle w:val="InternetLink"/>
          </w:rPr>
          <w:t>4</w:t>
        </w:r>
      </w:hyperlink>
      <w:r>
        <w:rPr>
          <w:rFonts w:ascii="Times New Roman;serif" w:hAnsi="Times New Roman;serif"/>
          <w:b w:val="false"/>
          <w:color w:val="000000"/>
          <w:sz w:val="20"/>
        </w:rPr>
        <w:t>) and March 20, 2024 (</w:t>
      </w:r>
      <w:hyperlink r:id="rId4">
        <w:r>
          <w:rPr>
            <w:rStyle w:val="InternetLink"/>
          </w:rPr>
          <w:t xml:space="preserve">Commission File No. </w:t>
        </w:r>
      </w:hyperlink>
      <w:hyperlink r:id="rId5">
        <w:r>
          <w:rPr>
            <w:rStyle w:val="InternetLink"/>
          </w:rPr>
          <w:t>333-278078</w:t>
        </w:r>
      </w:hyperlink>
      <w:r>
        <w:rPr>
          <w:rFonts w:ascii="Times New Roman;serif" w:hAnsi="Times New Roman;serif"/>
          <w:b w:val="false"/>
          <w:color w:val="000000"/>
          <w:sz w:val="20"/>
        </w:rPr>
        <w:t>) (the “Prior Registration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is submitted in accordance with General Instruction E to Form S-8 regarding the Registration of Additional Securities. Pursuant to General Instruction E of Form S-8, the contents of the Prior Registration Statements, to the extent relating to the registration of the Common Stock issuable under the 2024 Plan and the 2024 ESPP, are incorporated herein by reference and made part of this Registration Statement, except as otherwise amended, updated or supplemented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333" w:before="0" w:after="180"/>
        <w:jc w:val="left"/>
        <w:rPr/>
      </w:pPr>
      <w:r>
        <w:rPr>
          <w:rFonts w:ascii="Times New Roman;serif" w:hAnsi="Times New Roman;serif"/>
          <w:b w:val="false"/>
          <w:color w:val="000000"/>
          <w:sz w:val="20"/>
        </w:rPr>
        <w:t xml:space="preserve">Item 8. </w:t>
      </w:r>
      <w:r>
        <w:rPr>
          <w:rFonts w:ascii="Times New Roman;serif" w:hAnsi="Times New Roman;serif"/>
          <w:b w:val="false"/>
          <w:color w:val="000000"/>
          <w:sz w:val="20"/>
          <w:u w:val="single"/>
        </w:rPr>
        <w:t>Exhibits</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21"/>
        <w:gridCol w:w="283"/>
        <w:gridCol w:w="285"/>
        <w:gridCol w:w="109"/>
        <w:gridCol w:w="109"/>
        <w:gridCol w:w="109"/>
        <w:gridCol w:w="1034"/>
        <w:gridCol w:w="639"/>
        <w:gridCol w:w="538"/>
        <w:gridCol w:w="538"/>
        <w:gridCol w:w="538"/>
        <w:gridCol w:w="549"/>
        <w:gridCol w:w="109"/>
        <w:gridCol w:w="109"/>
        <w:gridCol w:w="109"/>
        <w:gridCol w:w="176"/>
        <w:gridCol w:w="176"/>
        <w:gridCol w:w="177"/>
        <w:gridCol w:w="109"/>
        <w:gridCol w:w="109"/>
        <w:gridCol w:w="109"/>
        <w:gridCol w:w="342"/>
        <w:gridCol w:w="271"/>
        <w:gridCol w:w="244"/>
        <w:gridCol w:w="109"/>
        <w:gridCol w:w="109"/>
        <w:gridCol w:w="109"/>
        <w:gridCol w:w="210"/>
        <w:gridCol w:w="210"/>
        <w:gridCol w:w="211"/>
        <w:gridCol w:w="109"/>
        <w:gridCol w:w="109"/>
        <w:gridCol w:w="109"/>
        <w:gridCol w:w="221"/>
        <w:gridCol w:w="221"/>
        <w:gridCol w:w="223"/>
        <w:gridCol w:w="109"/>
        <w:gridCol w:w="109"/>
        <w:gridCol w:w="109"/>
        <w:gridCol w:w="242"/>
        <w:gridCol w:w="242"/>
        <w:gridCol w:w="352"/>
      </w:tblGrid>
      <w:tr>
        <w:trPr/>
        <w:tc>
          <w:tcPr>
            <w:tcW w:w="3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3" w:after="283"/>
              <w:jc w:val="center"/>
              <w:rPr>
                <w:rFonts w:ascii="Times New Roman;serif" w:hAnsi="Times New Roman;serif"/>
                <w:b/>
                <w:color w:val="000000"/>
                <w:sz w:val="16"/>
              </w:rPr>
            </w:pPr>
            <w:r>
              <w:rPr>
                <w:rFonts w:ascii="Times New Roman;serif" w:hAnsi="Times New Roman;serif"/>
                <w:b/>
                <w:color w:val="000000"/>
                <w:sz w:val="16"/>
              </w:rPr>
              <w:t xml:space="preserve">Filing </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3" w:after="283"/>
              <w:jc w:val="center"/>
              <w:rPr>
                <w:rFonts w:ascii="Times New Roman;serif" w:hAnsi="Times New Roman;serif"/>
                <w:b/>
                <w:color w:val="000000"/>
                <w:sz w:val="16"/>
              </w:rPr>
            </w:pPr>
            <w:r>
              <w:rPr>
                <w:rFonts w:ascii="Times New Roman;serif" w:hAnsi="Times New Roman;serif"/>
                <w:b/>
                <w:color w:val="000000"/>
                <w:sz w:val="16"/>
              </w:rPr>
              <w:t xml:space="preserve">Filed </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23" w:after="20"/>
              <w:jc w:val="left"/>
              <w:rPr/>
            </w:pPr>
            <w:hyperlink r:id="rId6">
              <w:r>
                <w:rPr>
                  <w:rStyle w:val="InternetLink"/>
                  <w:rFonts w:ascii="Times New Roman;serif" w:hAnsi="Times New Roman;serif"/>
                  <w:b w:val="false"/>
                  <w:color w:val="0000FF"/>
                  <w:sz w:val="20"/>
                  <w:u w:val="single"/>
                </w:rPr>
                <w:t>Amended and Restated Certificate of Incorporation of the Registrant</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43" w:after="20"/>
              <w:jc w:val="left"/>
              <w:rPr/>
            </w:pPr>
            <w:hyperlink r:id="rId7">
              <w:r>
                <w:rPr>
                  <w:rStyle w:val="InternetLink"/>
                  <w:rFonts w:ascii="Times New Roman;serif" w:hAnsi="Times New Roman;serif"/>
                  <w:b w:val="false"/>
                  <w:color w:val="0000FF"/>
                  <w:sz w:val="20"/>
                  <w:u w:val="single"/>
                </w:rPr>
                <w:t>Second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43" w:after="20"/>
              <w:jc w:val="left"/>
              <w:rPr/>
            </w:pPr>
            <w:hyperlink r:id="rId8">
              <w:r>
                <w:rPr>
                  <w:rStyle w:val="InternetLink"/>
                  <w:rFonts w:ascii="Times New Roman;serif" w:hAnsi="Times New Roman;serif"/>
                  <w:b w:val="false"/>
                  <w:color w:val="0000FF"/>
                  <w:sz w:val="20"/>
                  <w:u w:val="single"/>
                </w:rPr>
                <w:t>Form of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05052026forms-8xex51ex232.htm">
              <w:r>
                <w:rPr>
                  <w:rStyle w:val="InternetLink"/>
                  <w:rFonts w:ascii="Times New Roman;serif" w:hAnsi="Times New Roman;serif"/>
                  <w:b w:val="false"/>
                  <w:color w:val="0000FF"/>
                  <w:sz w:val="20"/>
                  <w:u w:val="single"/>
                </w:rPr>
                <w:t>Opinion of Goodwin Procter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05052026forms-8xex231.htm">
              <w:r>
                <w:rPr>
                  <w:rStyle w:val="InternetLink"/>
                  <w:rFonts w:ascii="Times New Roman;serif" w:hAnsi="Times New Roman;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05052026forms-8xex51ex232.htm">
              <w:r>
                <w:rPr>
                  <w:rStyle w:val="InternetLink"/>
                  <w:rFonts w:ascii="Times New Roman;serif" w:hAnsi="Times New Roman;serif"/>
                  <w:b w:val="false"/>
                  <w:color w:val="0000FF"/>
                  <w:sz w:val="20"/>
                  <w:u w:val="single"/>
                </w:rPr>
                <w:t>Consent of Goodwin Procter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236883230204621a9109ec3b5a1fcec_13">
              <w:r>
                <w:rPr>
                  <w:rStyle w:val="InternetLink"/>
                  <w:rFonts w:ascii="Times New Roman;serif" w:hAnsi="Times New Roman;serif"/>
                  <w:b w:val="false"/>
                  <w:color w:val="0000FF"/>
                  <w:sz w:val="20"/>
                  <w:u w:val="single"/>
                </w:rPr>
                <w:t>Power of Attorney (contained on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2024 Stock Option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100"/>
              <w:jc w:val="left"/>
              <w:rPr/>
            </w:pPr>
            <w:hyperlink r:id="rId10">
              <w:r>
                <w:rPr>
                  <w:rStyle w:val="InternetLink"/>
                  <w:rFonts w:ascii="Times New Roman;serif" w:hAnsi="Times New Roman;serif"/>
                  <w:b w:val="false"/>
                  <w:color w:val="0000FF"/>
                  <w:sz w:val="20"/>
                  <w:u w:val="single"/>
                </w:rPr>
                <w:t>2024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333" w:before="43" w:after="20"/>
              <w:jc w:val="left"/>
              <w:rPr/>
            </w:pPr>
            <w:hyperlink w:anchor="ex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Santa Clara, California, on May 5, 2026.</w:t>
      </w:r>
    </w:p>
    <w:tbl>
      <w:tblPr>
        <w:tblW w:w="5027" w:type="dxa"/>
        <w:jc w:val="left"/>
        <w:tblInd w:w="0" w:type="dxa"/>
        <w:tblLayout w:type="fixed"/>
        <w:tblCellMar>
          <w:top w:w="28" w:type="dxa"/>
          <w:left w:w="28" w:type="dxa"/>
          <w:bottom w:w="28" w:type="dxa"/>
          <w:right w:w="28" w:type="dxa"/>
        </w:tblCellMar>
      </w:tblPr>
      <w:tblGrid>
        <w:gridCol w:w="303"/>
        <w:gridCol w:w="266"/>
        <w:gridCol w:w="266"/>
        <w:gridCol w:w="266"/>
        <w:gridCol w:w="266"/>
        <w:gridCol w:w="266"/>
        <w:gridCol w:w="109"/>
        <w:gridCol w:w="109"/>
        <w:gridCol w:w="109"/>
        <w:gridCol w:w="318"/>
        <w:gridCol w:w="318"/>
        <w:gridCol w:w="318"/>
        <w:gridCol w:w="568"/>
        <w:gridCol w:w="568"/>
        <w:gridCol w:w="584"/>
        <w:gridCol w:w="115"/>
        <w:gridCol w:w="115"/>
        <w:gridCol w:w="163"/>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6"/>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color w:val="231F20"/>
                <w:sz w:val="20"/>
              </w:rPr>
            </w:pPr>
            <w:r>
              <w:rPr>
                <w:rFonts w:ascii="Times New Roman;serif" w:hAnsi="Times New Roman;serif"/>
                <w:b/>
                <w:color w:val="231F20"/>
                <w:sz w:val="20"/>
              </w:rPr>
              <w:t>ASTERA LABS, INC.</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1720"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231F20"/>
                <w:sz w:val="20"/>
              </w:rPr>
            </w:pPr>
            <w:r>
              <w:rPr>
                <w:rFonts w:ascii="Times New Roman;serif" w:hAnsi="Times New Roman;serif"/>
                <w:b w:val="false"/>
                <w:color w:val="231F20"/>
                <w:sz w:val="20"/>
              </w:rPr>
              <w:t>/s/ Jitendra Mohan</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1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33" w:after="20"/>
              <w:jc w:val="left"/>
              <w:rPr>
                <w:rFonts w:ascii="Times New Roman;serif" w:hAnsi="Times New Roman;serif"/>
                <w:b w:val="false"/>
                <w:color w:val="231F20"/>
                <w:sz w:val="20"/>
              </w:rPr>
            </w:pPr>
            <w:r>
              <w:rPr>
                <w:rFonts w:ascii="Times New Roman;serif" w:hAnsi="Times New Roman;serif"/>
                <w:b w:val="false"/>
                <w:color w:val="231F20"/>
                <w:sz w:val="20"/>
              </w:rPr>
              <w:t>Jitendra Mohan</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113" w:type="dxa"/>
            <w:gridSpan w:val="6"/>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231F20"/>
                <w:sz w:val="20"/>
              </w:rPr>
            </w:pPr>
            <w:r>
              <w:rPr>
                <w:rFonts w:ascii="Times New Roman;serif" w:hAnsi="Times New Roman;serif"/>
                <w:b w:val="false"/>
                <w:color w:val="231F20"/>
                <w:sz w:val="20"/>
              </w:rPr>
              <w:t xml:space="preserve">Chief Executive Officer </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POWER OF ATTORNEY AND SIGNATURES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each person whose signature appears below constitutes and appoints Jitendra Mohan, Desmond Lynch, and Philip Mazzara, and each of them, as his or her true and lawful attorneys-in-fact and agents, with full power of substitution and resubstitution, for him or her and in his or her name, place and stead, in any and all capacities, to sign the Registration Statement on Form S-8 of Astera Labs, Inc., and any or all amendments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0" w:after="0"/>
        <w:ind w:left="0" w:right="0" w:firstLine="36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on Form S-8 has been signed by the following persons in the capacities and on the dates indicated.</w:t>
      </w:r>
    </w:p>
    <w:p>
      <w:pPr>
        <w:pStyle w:val="TextBody"/>
        <w:bidi w:val="0"/>
        <w:spacing w:before="0" w:after="0"/>
        <w:ind w:left="0" w:right="0" w:firstLine="360"/>
        <w:jc w:val="both"/>
        <w:rPr/>
      </w:pPr>
      <w:r>
        <w:rPr/>
      </w:r>
    </w:p>
    <w:tbl>
      <w:tblPr>
        <w:tblW w:w="8679"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664"/>
        <w:gridCol w:w="1664"/>
        <w:gridCol w:w="1682"/>
        <w:gridCol w:w="109"/>
        <w:gridCol w:w="109"/>
        <w:gridCol w:w="109"/>
        <w:gridCol w:w="346"/>
        <w:gridCol w:w="346"/>
        <w:gridCol w:w="493"/>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Jitendra Mohan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Jitendra Mohan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333" w:before="23" w:after="2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Desmond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Desmond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333" w:before="23" w:after="2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Germaine Cota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Germaine Cota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333" w:before="23" w:after="2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Manuel Alba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Manuel Alba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Craig Barratt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Craig Barratt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Stefan Dyckerhoff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Stefan Dyckerhoff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Sanjay Gajendra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President, Chief Operating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Sanjay Gajendra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Hurlston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Hurlston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/s/ 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Bethany Mayer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Bethany Mayer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Calculation of Filing Fee Table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(Form Type)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Astera Labs, Inc.</w:t>
      </w:r>
    </w:p>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p>
      <w:pPr>
        <w:pStyle w:val="TextBody"/>
        <w:bidi w:val="0"/>
        <w:spacing w:lineRule="auto" w:line="321" w:before="0" w:after="1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1: Newly Registered Securities</w: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51"/>
        <w:gridCol w:w="308"/>
        <w:gridCol w:w="309"/>
        <w:gridCol w:w="332"/>
        <w:gridCol w:w="332"/>
        <w:gridCol w:w="333"/>
        <w:gridCol w:w="432"/>
        <w:gridCol w:w="432"/>
        <w:gridCol w:w="434"/>
        <w:gridCol w:w="415"/>
        <w:gridCol w:w="415"/>
        <w:gridCol w:w="416"/>
        <w:gridCol w:w="402"/>
        <w:gridCol w:w="402"/>
        <w:gridCol w:w="403"/>
        <w:gridCol w:w="1136"/>
        <w:gridCol w:w="398"/>
        <w:gridCol w:w="399"/>
        <w:gridCol w:w="374"/>
        <w:gridCol w:w="374"/>
        <w:gridCol w:w="378"/>
        <w:gridCol w:w="416"/>
        <w:gridCol w:w="416"/>
        <w:gridCol w:w="598"/>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Security Type</w:t>
            </w:r>
          </w:p>
        </w:tc>
        <w:tc>
          <w:tcPr>
            <w:tcW w:w="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Security Class Title</w:t>
            </w:r>
          </w:p>
        </w:tc>
        <w:tc>
          <w:tcPr>
            <w:tcW w:w="12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Fee Calculation Rule</w:t>
            </w:r>
          </w:p>
        </w:tc>
        <w:tc>
          <w:tcPr>
            <w:tcW w:w="1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pPr>
            <w:r>
              <w:rPr>
                <w:rFonts w:ascii="Times New Roman;serif" w:hAnsi="Times New Roman;serif"/>
                <w:b/>
                <w:color w:val="000000"/>
                <w:sz w:val="24"/>
              </w:rPr>
              <w:t>Amount Registered</w:t>
            </w:r>
            <w:r>
              <w:rPr>
                <w:rFonts w:ascii="Times New Roman;serif" w:hAnsi="Times New Roman;serif"/>
                <w:b/>
                <w:color w:val="000000"/>
                <w:sz w:val="16"/>
              </w:rPr>
              <w:t>(1)</w:t>
            </w:r>
          </w:p>
        </w:tc>
        <w:tc>
          <w:tcPr>
            <w:tcW w:w="12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Proposed Maximum Offering Price Per Unit</w:t>
            </w:r>
          </w:p>
        </w:tc>
        <w:tc>
          <w:tcPr>
            <w:tcW w:w="19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Maximum Aggregate Offering Price</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Fee Rate</w:t>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Amount of Registration Fee</w:t>
            </w:r>
          </w:p>
        </w:tc>
      </w:tr>
      <w:tr>
        <w:trPr/>
        <w:tc>
          <w:tcPr>
            <w:tcW w:w="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Equity</w:t>
            </w:r>
          </w:p>
        </w:tc>
        <w:tc>
          <w:tcPr>
            <w:tcW w:w="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ind w:left="0" w:right="0" w:hanging="360"/>
              <w:jc w:val="center"/>
              <w:rPr>
                <w:rFonts w:ascii="Times New Roman;serif" w:hAnsi="Times New Roman;serif"/>
                <w:b w:val="false"/>
                <w:color w:val="000000"/>
                <w:sz w:val="24"/>
              </w:rPr>
            </w:pPr>
            <w:r>
              <w:rPr>
                <w:rFonts w:ascii="Times New Roman;serif" w:hAnsi="Times New Roman;serif"/>
                <w:b w:val="false"/>
                <w:color w:val="000000"/>
                <w:sz w:val="24"/>
              </w:rPr>
              <w:t>Common Stock,  $0.0001 par value per share</w:t>
            </w:r>
          </w:p>
        </w:tc>
        <w:tc>
          <w:tcPr>
            <w:tcW w:w="12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Rule 457(c) and Rule 457(h)</w:t>
            </w:r>
          </w:p>
        </w:tc>
        <w:tc>
          <w:tcPr>
            <w:tcW w:w="1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pPr>
            <w:r>
              <w:rPr>
                <w:rFonts w:ascii="Times New Roman;serif" w:hAnsi="Times New Roman;serif"/>
                <w:b w:val="false"/>
                <w:color w:val="000000"/>
                <w:sz w:val="24"/>
              </w:rPr>
              <w:t>8,509,275</w:t>
            </w:r>
            <w:r>
              <w:rPr>
                <w:rFonts w:ascii="Times New Roman;serif" w:hAnsi="Times New Roman;serif"/>
                <w:b w:val="false"/>
                <w:color w:val="000000"/>
                <w:sz w:val="16"/>
              </w:rPr>
              <w:t>(2)</w:t>
            </w:r>
          </w:p>
        </w:tc>
        <w:tc>
          <w:tcPr>
            <w:tcW w:w="12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0"/>
              <w:jc w:val="center"/>
              <w:rPr/>
            </w:pPr>
            <w:r>
              <w:rPr>
                <w:rFonts w:ascii="Times New Roman;serif" w:hAnsi="Times New Roman;serif"/>
                <w:b w:val="false"/>
                <w:color w:val="000000"/>
                <w:sz w:val="24"/>
              </w:rPr>
              <w:t>$184.82</w:t>
            </w:r>
            <w:r>
              <w:rPr>
                <w:rFonts w:ascii="Times New Roman;serif" w:hAnsi="Times New Roman;serif"/>
                <w:b w:val="false"/>
                <w:color w:val="000000"/>
                <w:sz w:val="16"/>
              </w:rPr>
              <w:t>(3</w:t>
            </w:r>
            <w:r>
              <w:rPr>
                <w:rFonts w:ascii="Times New Roman;serif" w:hAnsi="Times New Roman;serif"/>
                <w:b/>
                <w:color w:val="000000"/>
                <w:sz w:val="16"/>
              </w:rPr>
              <w:t>)</w:t>
            </w:r>
          </w:p>
        </w:tc>
        <w:tc>
          <w:tcPr>
            <w:tcW w:w="19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$1,572,684,205.50</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0.0001381</w:t>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$217,187.69</w:t>
            </w:r>
          </w:p>
        </w:tc>
      </w:tr>
      <w:tr>
        <w:trPr/>
        <w:tc>
          <w:tcPr>
            <w:tcW w:w="9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Equity</w:t>
            </w:r>
          </w:p>
        </w:tc>
        <w:tc>
          <w:tcPr>
            <w:tcW w:w="9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ind w:left="0" w:right="0" w:hanging="360"/>
              <w:jc w:val="center"/>
              <w:rPr>
                <w:rFonts w:ascii="Times New Roman;serif" w:hAnsi="Times New Roman;serif"/>
                <w:b w:val="false"/>
                <w:color w:val="000000"/>
                <w:sz w:val="24"/>
              </w:rPr>
            </w:pPr>
            <w:r>
              <w:rPr>
                <w:rFonts w:ascii="Times New Roman;serif" w:hAnsi="Times New Roman;serif"/>
                <w:b w:val="false"/>
                <w:color w:val="000000"/>
                <w:sz w:val="24"/>
              </w:rPr>
              <w:t>Common Stock,  $0.0001 par value per share</w:t>
            </w:r>
          </w:p>
        </w:tc>
        <w:tc>
          <w:tcPr>
            <w:tcW w:w="12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Rule 457(c) and Rule 457(h)</w:t>
            </w:r>
          </w:p>
        </w:tc>
        <w:tc>
          <w:tcPr>
            <w:tcW w:w="12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0"/>
              <w:jc w:val="center"/>
              <w:rPr/>
            </w:pPr>
            <w:r>
              <w:rPr>
                <w:rFonts w:ascii="Times New Roman;serif" w:hAnsi="Times New Roman;serif"/>
                <w:b w:val="false"/>
                <w:color w:val="000000"/>
                <w:sz w:val="24"/>
              </w:rPr>
              <w:t>1,701,861</w:t>
            </w:r>
            <w:r>
              <w:rPr>
                <w:rFonts w:ascii="Times New Roman;serif" w:hAnsi="Times New Roman;serif"/>
                <w:b w:val="false"/>
                <w:color w:val="000000"/>
                <w:sz w:val="16"/>
              </w:rPr>
              <w:t>(4)</w:t>
            </w:r>
          </w:p>
        </w:tc>
        <w:tc>
          <w:tcPr>
            <w:tcW w:w="12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0"/>
              <w:jc w:val="center"/>
              <w:rPr/>
            </w:pPr>
            <w:r>
              <w:rPr>
                <w:rFonts w:ascii="Times New Roman;serif" w:hAnsi="Times New Roman;serif"/>
                <w:b w:val="false"/>
                <w:color w:val="000000"/>
                <w:sz w:val="24"/>
              </w:rPr>
              <w:t>$157.10</w:t>
            </w:r>
            <w:r>
              <w:rPr>
                <w:rFonts w:ascii="Times New Roman;serif" w:hAnsi="Times New Roman;serif"/>
                <w:b/>
                <w:color w:val="000000"/>
                <w:sz w:val="16"/>
              </w:rPr>
              <w:t>(</w:t>
            </w:r>
            <w:r>
              <w:rPr>
                <w:rFonts w:ascii="Times New Roman;serif" w:hAnsi="Times New Roman;serif"/>
                <w:b w:val="false"/>
                <w:color w:val="000000"/>
                <w:sz w:val="16"/>
              </w:rPr>
              <w:t>5</w:t>
            </w:r>
            <w:r>
              <w:rPr>
                <w:rFonts w:ascii="Times New Roman;serif" w:hAnsi="Times New Roman;serif"/>
                <w:b/>
                <w:color w:val="000000"/>
                <w:sz w:val="16"/>
              </w:rPr>
              <w:t>)</w:t>
            </w:r>
          </w:p>
        </w:tc>
        <w:tc>
          <w:tcPr>
            <w:tcW w:w="19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$267,362,363.10</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0.0001381</w:t>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$36,922.74</w:t>
            </w:r>
          </w:p>
        </w:tc>
      </w:tr>
      <w:tr>
        <w:trPr/>
        <w:tc>
          <w:tcPr>
            <w:tcW w:w="4509" w:type="dxa"/>
            <w:gridSpan w:val="12"/>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321" w:before="0" w:after="0"/>
              <w:jc w:val="center"/>
              <w:rPr>
                <w:rFonts w:ascii="Times New Roman;serif" w:hAnsi="Times New Roman;serif"/>
                <w:b/>
                <w:color w:val="000000"/>
                <w:sz w:val="24"/>
              </w:rPr>
            </w:pPr>
            <w:r>
              <w:rPr>
                <w:rFonts w:ascii="Times New Roman;serif" w:hAnsi="Times New Roman;serif"/>
                <w:b/>
                <w:color w:val="000000"/>
                <w:sz w:val="24"/>
              </w:rPr>
              <w:t>Total Offering Amounts</w:t>
            </w:r>
          </w:p>
        </w:tc>
        <w:tc>
          <w:tcPr>
            <w:tcW w:w="12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$1,840,046,568.60</w:t>
            </w:r>
          </w:p>
        </w:tc>
        <w:tc>
          <w:tcPr>
            <w:tcW w:w="11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$254,110.43</w:t>
            </w:r>
          </w:p>
        </w:tc>
      </w:tr>
      <w:tr>
        <w:trPr/>
        <w:tc>
          <w:tcPr>
            <w:tcW w:w="4509"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0"/>
              <w:jc w:val="center"/>
              <w:rPr>
                <w:rFonts w:ascii="Times New Roman;serif" w:hAnsi="Times New Roman;serif"/>
                <w:b/>
                <w:color w:val="000000"/>
                <w:sz w:val="24"/>
              </w:rPr>
            </w:pPr>
            <w:r>
              <w:rPr>
                <w:rFonts w:ascii="Times New Roman;serif" w:hAnsi="Times New Roman;serif"/>
                <w:b/>
                <w:color w:val="000000"/>
                <w:sz w:val="24"/>
              </w:rPr>
              <w:t>Total Fees Previously Paid</w:t>
            </w:r>
          </w:p>
        </w:tc>
        <w:tc>
          <w:tcPr>
            <w:tcW w:w="12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1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0"/>
              <w:jc w:val="center"/>
              <w:rPr>
                <w:color w:val="000000"/>
              </w:rPr>
            </w:pPr>
            <w:r>
              <w:rPr>
                <w:color w:val="000000"/>
              </w:rPr>
              <w:t>—</w:t>
            </w:r>
          </w:p>
        </w:tc>
      </w:tr>
      <w:tr>
        <w:trPr/>
        <w:tc>
          <w:tcPr>
            <w:tcW w:w="4509"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0"/>
              <w:jc w:val="center"/>
              <w:rPr>
                <w:rFonts w:ascii="Times New Roman;serif" w:hAnsi="Times New Roman;serif"/>
                <w:b/>
                <w:color w:val="000000"/>
                <w:sz w:val="24"/>
              </w:rPr>
            </w:pPr>
            <w:r>
              <w:rPr>
                <w:rFonts w:ascii="Times New Roman;serif" w:hAnsi="Times New Roman;serif"/>
                <w:b/>
                <w:color w:val="000000"/>
                <w:sz w:val="24"/>
              </w:rPr>
              <w:t>Total Fee Offsets</w:t>
            </w:r>
          </w:p>
        </w:tc>
        <w:tc>
          <w:tcPr>
            <w:tcW w:w="12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1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0"/>
              <w:jc w:val="center"/>
              <w:rPr>
                <w:color w:val="000000"/>
              </w:rPr>
            </w:pPr>
            <w:r>
              <w:rPr>
                <w:color w:val="000000"/>
              </w:rPr>
              <w:t>—</w:t>
            </w:r>
          </w:p>
        </w:tc>
      </w:tr>
      <w:tr>
        <w:trPr/>
        <w:tc>
          <w:tcPr>
            <w:tcW w:w="4509"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0"/>
              <w:jc w:val="center"/>
              <w:rPr>
                <w:rFonts w:ascii="Times New Roman;serif" w:hAnsi="Times New Roman;serif"/>
                <w:b/>
                <w:color w:val="000000"/>
                <w:sz w:val="24"/>
              </w:rPr>
            </w:pPr>
            <w:r>
              <w:rPr>
                <w:rFonts w:ascii="Times New Roman;serif" w:hAnsi="Times New Roman;serif"/>
                <w:b/>
                <w:color w:val="000000"/>
                <w:sz w:val="24"/>
              </w:rPr>
              <w:t>Net Fee Due</w:t>
            </w:r>
          </w:p>
        </w:tc>
        <w:tc>
          <w:tcPr>
            <w:tcW w:w="120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93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1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43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$254,110.43</w:t>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321" w:before="0" w:after="16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Pursuant to Rule 416 of the Securities Act of 1933, as amended (the “Securities Act”), this Registration Statement shall also cover any additional shares of the Registrant’s common stock, par value $0.0001 per share (“Common Stock”), that become issuable under the Astera Labs, Inc. 2024 Stock Option and Incentive Plan (“2024 Plan”) and the Astera Labs, Inc. 2024 Employee Stock Purchase Plan (“2024 ESPP”) by reason of any stock dividend, stock split, recapitalization or other similar transaction that increases the number of outstanding shares of Common Stock.</w:t>
      </w:r>
    </w:p>
    <w:p>
      <w:pPr>
        <w:pStyle w:val="TextBody"/>
        <w:bidi w:val="0"/>
        <w:spacing w:lineRule="auto" w:line="321" w:before="0" w:after="16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Represents an automatic annual increase equal to 5.0% of the total number of shares of the Registrant’s Common Stock outstanding on December 31 of the preceding year, which annual increase is provided by the 2024 Plan.</w:t>
      </w:r>
    </w:p>
    <w:p>
      <w:pPr>
        <w:pStyle w:val="TextBody"/>
        <w:bidi w:val="0"/>
        <w:spacing w:lineRule="auto" w:line="321" w:before="0" w:after="160"/>
        <w:jc w:val="left"/>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Estimated in accordance with Rule 457(c) and Rule 457(h) of the Securities Act solely for the purpose of calculating the registration fee on the basis of $184.82 per share, which is the average of the high and low prices of the Registrant’s Common Stock on April 28, 2026, as reported on the Nasdaq Global Select Market.</w:t>
      </w:r>
    </w:p>
    <w:p>
      <w:pPr>
        <w:pStyle w:val="TextBody"/>
        <w:bidi w:val="0"/>
        <w:spacing w:lineRule="auto" w:line="321" w:before="0" w:after="160"/>
        <w:jc w:val="left"/>
        <w:rPr/>
      </w:pP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Represents an automatic increase equal to 1.0% of the total number of shares of the Registrant’s Common Stock outstanding on December 31 of the preceding year, which annual increase is provided by the 2024 ESPP.</w:t>
      </w:r>
    </w:p>
    <w:p>
      <w:pPr>
        <w:pStyle w:val="TextBody"/>
        <w:bidi w:val="0"/>
        <w:spacing w:lineRule="auto" w:line="321" w:before="0" w:after="160"/>
        <w:jc w:val="left"/>
        <w:rPr/>
      </w:pPr>
      <w:r>
        <w:rPr>
          <w:rFonts w:ascii="Times New Roman;serif" w:hAnsi="Times New Roman;serif"/>
          <w:b w:val="false"/>
          <w:color w:val="000000"/>
          <w:sz w:val="16"/>
        </w:rPr>
        <w:t>(5)</w:t>
      </w:r>
      <w:r>
        <w:rPr>
          <w:color w:val="000000"/>
        </w:rPr>
        <w:t xml:space="preserve"> </w:t>
      </w:r>
      <w:r>
        <w:rPr>
          <w:rFonts w:ascii="Times New Roman;serif" w:hAnsi="Times New Roman;serif"/>
          <w:b w:val="false"/>
          <w:color w:val="000000"/>
          <w:sz w:val="24"/>
        </w:rPr>
        <w:t>Estimated in accordance with Rule 457(c) and 457(h) of the Securities Act solely for the purpose of calculating the registration fee on the basis of $157.10 per share, which is the average of the high and low prices of the Registrant’s Common Stock on April 28, 2026, as reported on the Nasdaq Global Select Market, multiplied by 85%. Pursuant to the 2024 ESPP, the purchase price of Common Stock reserved for issuance thereunder will be 85% of the Fair Market Value (as defined in the 2024 ESPP) of the Common Stock on the Offering Date (as defined in the 2024 ESPP) or the Exercise Date (as defined in the 2024 ESPP), whichever is less.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5.1 &amp; 23.2</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5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681" w:type="dxa"/>
        <w:jc w:val="left"/>
        <w:tblInd w:w="0" w:type="dxa"/>
        <w:tblLayout w:type="fixed"/>
        <w:tblCellMar>
          <w:top w:w="28" w:type="dxa"/>
          <w:left w:w="28" w:type="dxa"/>
          <w:bottom w:w="28" w:type="dxa"/>
          <w:right w:w="28" w:type="dxa"/>
        </w:tblCellMar>
      </w:tblPr>
      <w:tblGrid>
        <w:gridCol w:w="1341"/>
        <w:gridCol w:w="1179"/>
        <w:gridCol w:w="1181"/>
        <w:gridCol w:w="579"/>
        <w:gridCol w:w="579"/>
        <w:gridCol w:w="822"/>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43" w:after="20"/>
              <w:jc w:val="left"/>
              <w:rPr/>
            </w:pPr>
            <w:r>
              <w:rPr/>
              <w:drawing>
                <wp:inline distT="0" distB="0" distL="0" distR="0">
                  <wp:extent cx="2286000" cy="5048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1"/>
                          <a:stretch>
                            <a:fillRect/>
                          </a:stretch>
                        </pic:blipFill>
                        <pic:spPr bwMode="auto">
                          <a:xfrm>
                            <a:off x="0" y="0"/>
                            <a:ext cx="2286000" cy="504825"/>
                          </a:xfrm>
                          <a:prstGeom prst="rect">
                            <a:avLst/>
                          </a:prstGeom>
                        </pic:spPr>
                      </pic:pic>
                    </a:graphicData>
                  </a:graphic>
                </wp:inline>
              </w:drawing>
            </w:r>
          </w:p>
        </w:tc>
        <w:tc>
          <w:tcPr>
            <w:tcW w:w="1980"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Arial;sans-serif" w:hAnsi="Arial;sans-serif"/>
                <w:b w:val="false"/>
                <w:color w:val="848A8E"/>
                <w:sz w:val="16"/>
              </w:rPr>
            </w:pPr>
            <w:r>
              <w:rPr>
                <w:rFonts w:ascii="Arial;sans-serif" w:hAnsi="Arial;sans-serif"/>
                <w:b w:val="false"/>
                <w:color w:val="848A8E"/>
                <w:sz w:val="16"/>
              </w:rPr>
              <w:t>Goodwin Procter LLP</w:t>
            </w:r>
          </w:p>
          <w:p>
            <w:pPr>
              <w:pStyle w:val="TableContents"/>
              <w:bidi w:val="0"/>
              <w:spacing w:lineRule="auto" w:line="288" w:before="0" w:after="0"/>
              <w:jc w:val="left"/>
              <w:rPr>
                <w:rFonts w:ascii="Arial;sans-serif" w:hAnsi="Arial;sans-serif"/>
                <w:b w:val="false"/>
                <w:color w:val="848A8E"/>
                <w:sz w:val="16"/>
              </w:rPr>
            </w:pPr>
            <w:r>
              <w:rPr>
                <w:rFonts w:ascii="Arial;sans-serif" w:hAnsi="Arial;sans-serif"/>
                <w:b w:val="false"/>
                <w:color w:val="848A8E"/>
                <w:sz w:val="16"/>
              </w:rPr>
              <w:t>601 Marshall Street</w:t>
            </w:r>
          </w:p>
          <w:p>
            <w:pPr>
              <w:pStyle w:val="TableContents"/>
              <w:bidi w:val="0"/>
              <w:spacing w:lineRule="auto" w:line="288" w:before="0" w:after="240"/>
              <w:jc w:val="left"/>
              <w:rPr>
                <w:rFonts w:ascii="Arial;sans-serif" w:hAnsi="Arial;sans-serif"/>
                <w:b w:val="false"/>
                <w:color w:val="848A8E"/>
                <w:sz w:val="16"/>
              </w:rPr>
            </w:pPr>
            <w:r>
              <w:rPr>
                <w:rFonts w:ascii="Arial;sans-serif" w:hAnsi="Arial;sans-serif"/>
                <w:b w:val="false"/>
                <w:color w:val="848A8E"/>
                <w:sz w:val="16"/>
              </w:rPr>
              <w:t>Redwood City, CA 94063</w:t>
            </w:r>
          </w:p>
          <w:p>
            <w:pPr>
              <w:pStyle w:val="TableContents"/>
              <w:bidi w:val="0"/>
              <w:spacing w:lineRule="auto" w:line="288" w:before="0" w:after="0"/>
              <w:jc w:val="left"/>
              <w:rPr>
                <w:rFonts w:ascii="Arial;sans-serif" w:hAnsi="Arial;sans-serif"/>
                <w:b w:val="false"/>
                <w:color w:val="848A8E"/>
                <w:sz w:val="16"/>
              </w:rPr>
            </w:pPr>
            <w:r>
              <w:rPr>
                <w:rFonts w:ascii="Arial;sans-serif" w:hAnsi="Arial;sans-serif"/>
                <w:b w:val="false"/>
                <w:color w:val="848A8E"/>
                <w:sz w:val="16"/>
              </w:rPr>
              <w:t>goodwinlaw.com</w:t>
            </w:r>
          </w:p>
          <w:p>
            <w:pPr>
              <w:pStyle w:val="TableContents"/>
              <w:bidi w:val="0"/>
              <w:spacing w:lineRule="auto" w:line="288" w:before="0" w:after="20"/>
              <w:jc w:val="left"/>
              <w:rPr>
                <w:rFonts w:ascii="Arial;sans-serif" w:hAnsi="Arial;sans-serif"/>
                <w:b w:val="false"/>
                <w:color w:val="848A8E"/>
                <w:sz w:val="16"/>
              </w:rPr>
            </w:pPr>
            <w:r>
              <w:rPr>
                <w:rFonts w:ascii="Arial;sans-serif" w:hAnsi="Arial;sans-serif"/>
                <w:b w:val="false"/>
                <w:color w:val="848A8E"/>
                <w:sz w:val="16"/>
              </w:rPr>
              <w:t>+1 650 752 3100</w:t>
            </w:r>
          </w:p>
        </w:tc>
      </w:tr>
    </w:tbl>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May 5, 2026</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Astera Labs, Inc.</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2345 North First Street</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 95131</w:t>
      </w:r>
    </w:p>
    <w:p>
      <w:pPr>
        <w:pStyle w:val="TextBody"/>
        <w:bidi w:val="0"/>
        <w:spacing w:before="0" w:after="0"/>
        <w:jc w:val="left"/>
        <w:rPr/>
      </w:pPr>
      <w:r>
        <w:rPr/>
      </w:r>
    </w:p>
    <w:p>
      <w:pPr>
        <w:pStyle w:val="TextBody"/>
        <w:bidi w:val="0"/>
        <w:spacing w:lineRule="auto" w:line="333" w:before="0" w:after="180"/>
        <w:jc w:val="left"/>
        <w:rPr/>
      </w:pPr>
      <w:r>
        <w:rPr>
          <w:rFonts w:ascii="Times New Roman;serif" w:hAnsi="Times New Roman;serif"/>
          <w:b w:val="false"/>
          <w:color w:val="000000"/>
          <w:sz w:val="20"/>
        </w:rPr>
        <w:t>Re:    </w:t>
      </w:r>
      <w:r>
        <w:rPr>
          <w:rFonts w:ascii="Times New Roman;serif" w:hAnsi="Times New Roman;serif"/>
          <w:b w:val="false"/>
          <w:color w:val="000000"/>
          <w:sz w:val="20"/>
          <w:u w:val="single"/>
        </w:rPr>
        <w:t>Securities Being Registered under Registration Statement on Form S-8</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acted as your counsel in connection with your filing of a Registration Statement on Form S-8 (the “Registration Statement”) pursuant to the Securities Act of 1933, as amended (the “Securities Act”), on or about the date hereof relating to an aggregate of 10,211,136 shares (the “Shares”) of Common Stock, par value $0.0001 per share (“Common Stock”), of Astera Labs, Inc., a Delaware corporation (the “Company”), consisting of (a) 8,509,275 Shares that may be issued pursuant to the Company’s 2024 Stock Option and Incentive Plan (the “2024 Plan”) and (b) 1,701,861 Shares that may be issued pursuant to the Company’s 2024 Employee Stock Purchase Plan (together with the 2024 Plan, the “Plans”).</w:t>
      </w:r>
    </w:p>
    <w:p>
      <w:pPr>
        <w:pStyle w:val="TextBody"/>
        <w:bidi w:val="0"/>
        <w:spacing w:before="0" w:after="0"/>
        <w:jc w:val="both"/>
        <w:rPr/>
      </w:pPr>
      <w:r>
        <w:rPr/>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The opinion set forth below is limited to the Delaware General Corporation Law.</w:t>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foregoing, we are of the opinion that the Shares have been duly authorized and, when delivered against payment therefor in accordance with the terms of the Plans, will be validly issued, fully paid and nonassessable. </w:t>
      </w:r>
    </w:p>
    <w:p>
      <w:pPr>
        <w:pStyle w:val="TextBody"/>
        <w:bidi w:val="0"/>
        <w:spacing w:lineRule="auto" w:line="333" w:before="0" w:after="180"/>
        <w:jc w:val="both"/>
        <w:rPr/>
      </w:pPr>
      <w:r>
        <w:rPr>
          <w:rFonts w:ascii="Times New Roman;serif" w:hAnsi="Times New Roman;serif"/>
          <w:b w:val="false"/>
          <w:color w:val="000000"/>
          <w:sz w:val="20"/>
        </w:rPr>
        <w:t xml:space="preserve">This opinion letter and the opinion it contains shall be interpreted in accordance with the Core Opinion Principles as published in 74 </w:t>
      </w:r>
      <w:r>
        <w:rPr>
          <w:rFonts w:ascii="Times New Roman;serif" w:hAnsi="Times New Roman;serif"/>
          <w:b w:val="false"/>
          <w:i/>
          <w:color w:val="000000"/>
          <w:sz w:val="20"/>
        </w:rPr>
        <w:t>Business Lawyer</w:t>
      </w:r>
      <w:r>
        <w:rPr>
          <w:color w:val="000000"/>
        </w:rPr>
        <w:t xml:space="preserve"> </w:t>
      </w:r>
      <w:r>
        <w:rPr>
          <w:rFonts w:ascii="Times New Roman;serif" w:hAnsi="Times New Roman;serif"/>
          <w:b w:val="false"/>
          <w:color w:val="000000"/>
          <w:sz w:val="20"/>
        </w:rPr>
        <w:t>815 (Summer 2019).</w:t>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jc w:val="right"/>
        <w:rPr/>
      </w:pPr>
      <w:r>
        <w:rPr/>
      </w:r>
    </w:p>
    <w:p>
      <w:pPr>
        <w:pStyle w:val="TextBody"/>
        <w:bidi w:val="0"/>
        <w:spacing w:before="0" w:after="0"/>
        <w:ind w:left="0" w:right="0" w:firstLine="720"/>
        <w:jc w:val="left"/>
        <w:rPr/>
      </w:pPr>
      <w:r>
        <w:rPr/>
      </w:r>
    </w:p>
    <w:tbl>
      <w:tblPr>
        <w:tblW w:w="2727" w:type="dxa"/>
        <w:jc w:val="right"/>
        <w:tblInd w:w="0" w:type="dxa"/>
        <w:tblLayout w:type="fixed"/>
        <w:tblCellMar>
          <w:top w:w="28" w:type="dxa"/>
          <w:left w:w="28" w:type="dxa"/>
          <w:bottom w:w="28" w:type="dxa"/>
          <w:right w:w="28" w:type="dxa"/>
        </w:tblCellMar>
      </w:tblPr>
      <w:tblGrid>
        <w:gridCol w:w="853"/>
        <w:gridCol w:w="747"/>
        <w:gridCol w:w="755"/>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Goodwin Procter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GOODWIN PROCTER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incorporation by reference in this Registration Statement on Form S-8 of Astera Labs, Inc. of our report dated February 20, 2026 relating to the financial statements and the effectiveness of internal control over financial reporting, which appears in Astera Labs, Inc's Annual Report on Form 10-K for the year ended December 31,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May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6297/000173629725000064/a06182025forms-8.htm" TargetMode="External"/><Relationship Id="rId3" Type="http://schemas.openxmlformats.org/officeDocument/2006/relationships/hyperlink" Target="https://www.sec.gov/Archives/edgar/data/1736297/000173629725000064/a06182025forms-8.htm" TargetMode="External"/><Relationship Id="rId4" Type="http://schemas.openxmlformats.org/officeDocument/2006/relationships/hyperlink" Target="https://www.sec.gov/Archives/edgar/data/1736297/000119312524071814/d787818ds8.htm" TargetMode="External"/><Relationship Id="rId5" Type="http://schemas.openxmlformats.org/officeDocument/2006/relationships/hyperlink" Target="https://www.sec.gov/Archives/edgar/data/1736297/000119312524071814/d787818ds8.htm" TargetMode="External"/><Relationship Id="rId6" Type="http://schemas.openxmlformats.org/officeDocument/2006/relationships/hyperlink" Target="https://www.sec.gov/Archives/edgar/data/1736297/000119312524080594/d800855dex31.htm" TargetMode="External"/><Relationship Id="rId7" Type="http://schemas.openxmlformats.org/officeDocument/2006/relationships/hyperlink" Target="https://www.sec.gov/Archives/edgar/data/1736297/000119312524080594/d800855dex32.htm" TargetMode="External"/><Relationship Id="rId8" Type="http://schemas.openxmlformats.org/officeDocument/2006/relationships/hyperlink" Target="https://www.sec.gov/Archives/edgar/data/1736297/000119312524062817/d285484dex41.htm" TargetMode="External"/><Relationship Id="rId9" Type="http://schemas.openxmlformats.org/officeDocument/2006/relationships/hyperlink" Target="https://www.sec.gov/Archives/edgar/data/0001736297/000173629724000006/exhibit102.htm" TargetMode="External"/><Relationship Id="rId10" Type="http://schemas.openxmlformats.org/officeDocument/2006/relationships/hyperlink" Target="https://www.sec.gov/Archives/edgar/data/0001736297/000173629724000006/exhibit103.htm" TargetMode="External"/><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1929</Words>
  <Characters>10257</Characters>
  <CharactersWithSpaces>12009</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