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288" w:before="100" w:after="283"/>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288" w:before="100" w:after="283"/>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before="0" w:after="0"/>
        <w:jc w:val="center"/>
        <w:rPr/>
      </w:pPr>
      <w:r>
        <w:rPr/>
      </w:r>
    </w:p>
    <w:tbl>
      <w:tblPr>
        <w:tblW w:w="311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89"/>
        <w:gridCol w:w="689"/>
        <w:gridCol w:w="6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160" w:after="283"/>
        <w:jc w:val="center"/>
        <w:rPr>
          <w:rFonts w:ascii="Times New Roman;serif" w:hAnsi="Times New Roman;serif"/>
          <w:b/>
          <w:color w:val="181717"/>
          <w:sz w:val="20"/>
        </w:rPr>
      </w:pPr>
      <w:r>
        <w:rPr>
          <w:rFonts w:ascii="Times New Roman;serif" w:hAnsi="Times New Roman;serif"/>
          <w:b/>
          <w:color w:val="181717"/>
          <w:sz w:val="20"/>
        </w:rPr>
        <w:t>For the fiscal year ended December 31, 2025</w:t>
      </w:r>
    </w:p>
    <w:p>
      <w:pPr>
        <w:pStyle w:val="TextBody"/>
        <w:bidi w:val="0"/>
        <w:spacing w:lineRule="auto" w:line="288" w:before="160" w:after="283"/>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60" w:after="283"/>
        <w:jc w:val="center"/>
        <w:rPr>
          <w:rFonts w:ascii="Times New Roman;serif" w:hAnsi="Times New Roman;serif"/>
          <w:b/>
          <w:color w:val="181717"/>
          <w:sz w:val="20"/>
        </w:rPr>
      </w:pPr>
      <w:r>
        <w:rPr>
          <w:rFonts w:ascii="Times New Roman;serif" w:hAnsi="Times New Roman;serif"/>
          <w:b/>
          <w:color w:val="181717"/>
          <w:sz w:val="20"/>
        </w:rPr>
        <w:t>For the transition period from __ to __</w:t>
      </w:r>
    </w:p>
    <w:p>
      <w:pPr>
        <w:pStyle w:val="TextBody"/>
        <w:bidi w:val="0"/>
        <w:spacing w:lineRule="auto" w:line="288" w:before="160" w:after="283"/>
        <w:jc w:val="center"/>
        <w:rPr>
          <w:rFonts w:ascii="Times New Roman;serif" w:hAnsi="Times New Roman;serif"/>
          <w:b/>
          <w:color w:val="181717"/>
          <w:sz w:val="20"/>
        </w:rPr>
      </w:pPr>
      <w:r>
        <w:rPr>
          <w:rFonts w:ascii="Times New Roman;serif" w:hAnsi="Times New Roman;serif"/>
          <w:b/>
          <w:color w:val="181717"/>
          <w:sz w:val="20"/>
        </w:rPr>
        <w:t>Commission file number 001-41979</w:t>
      </w:r>
    </w:p>
    <w:tbl>
      <w:tblPr>
        <w:tblW w:w="3443" w:type="dxa"/>
        <w:jc w:val="center"/>
        <w:tblInd w:w="0" w:type="dxa"/>
        <w:tblLayout w:type="fixed"/>
        <w:tblCellMar>
          <w:top w:w="28" w:type="dxa"/>
          <w:left w:w="28" w:type="dxa"/>
          <w:bottom w:w="28" w:type="dxa"/>
          <w:right w:w="28" w:type="dxa"/>
        </w:tblCellMar>
      </w:tblPr>
      <w:tblGrid>
        <w:gridCol w:w="124"/>
        <w:gridCol w:w="109"/>
        <w:gridCol w:w="109"/>
        <w:gridCol w:w="909"/>
        <w:gridCol w:w="909"/>
        <w:gridCol w:w="9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Astera Labs,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181717"/>
          <w:sz w:val="24"/>
        </w:rPr>
      </w:pPr>
      <w:r>
        <w:rPr>
          <w:rFonts w:ascii="Times New Roman;serif" w:hAnsi="Times New Roman;serif"/>
          <w:b/>
          <w:color w:val="181717"/>
          <w:sz w:val="24"/>
        </w:rPr>
        <w:t>(Exact name of registrant as specified in its charter)</w:t>
      </w:r>
    </w:p>
    <w:tbl>
      <w:tblPr>
        <w:tblW w:w="9254" w:type="dxa"/>
        <w:jc w:val="left"/>
        <w:tblInd w:w="0" w:type="dxa"/>
        <w:tblLayout w:type="fixed"/>
        <w:tblCellMar>
          <w:top w:w="28" w:type="dxa"/>
          <w:left w:w="28" w:type="dxa"/>
          <w:bottom w:w="28" w:type="dxa"/>
          <w:right w:w="28" w:type="dxa"/>
        </w:tblCellMar>
      </w:tblPr>
      <w:tblGrid>
        <w:gridCol w:w="1795"/>
        <w:gridCol w:w="1577"/>
        <w:gridCol w:w="1593"/>
        <w:gridCol w:w="294"/>
        <w:gridCol w:w="294"/>
        <w:gridCol w:w="296"/>
        <w:gridCol w:w="125"/>
        <w:gridCol w:w="125"/>
        <w:gridCol w:w="126"/>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82-3437062</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2345 North First Street,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95131</w:t>
            </w:r>
          </w:p>
        </w:tc>
      </w:tr>
      <w:tr>
        <w:trPr/>
        <w:tc>
          <w:tcPr>
            <w:tcW w:w="6225"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rFonts w:ascii="Times New Roman;serif" w:hAnsi="Times New Roman;serif"/>
          <w:b/>
          <w:color w:val="181717"/>
          <w:sz w:val="20"/>
        </w:rPr>
      </w:pPr>
      <w:r>
        <w:rPr>
          <w:rFonts w:ascii="Times New Roman;serif" w:hAnsi="Times New Roman;serif"/>
          <w:b/>
          <w:color w:val="181717"/>
          <w:sz w:val="20"/>
        </w:rPr>
        <w:t>(408) 766-3806</w:t>
      </w:r>
    </w:p>
    <w:p>
      <w:pPr>
        <w:pStyle w:val="TextBody"/>
        <w:bidi w:val="0"/>
        <w:spacing w:lineRule="auto" w:line="288"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288" w:before="16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ALAB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12(g) of the Act: None</w:t>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if the registrant is a well-known seasoned issuer, as defined in Rule 405 of the Securities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if the registrant is not required to file reports pursuant to Section 13 or Section 15(d) of the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181717"/>
                <w:sz w:val="20"/>
              </w:rPr>
            </w:pPr>
            <w:r>
              <w:rPr>
                <w:rFonts w:ascii="Wingdings;sans-serif" w:hAnsi="Wingdings;sans-serif"/>
                <w:b w:val="false"/>
                <w:color w:val="181717"/>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0" w:after="0"/>
        <w:jc w:val="right"/>
        <w:rPr>
          <w:color w:val="181717"/>
        </w:rPr>
      </w:pPr>
      <w:r>
        <w:rPr>
          <w:color w:val="181717"/>
        </w:rPr>
        <w:t>☒</w:t>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1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common stock held by non-affiliates of the registrant, based on the closing price of $90.42 per share of the registrant’s common stock on June 30, 2025, the last business day of the registrant’s most recently completed second fiscal quarter, as reported by the Nasdaq Stock Market LLC on such date, was $13.2 billion.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January 31, 2026, </w:t>
      </w:r>
      <w:r>
        <w:rPr>
          <w:rFonts w:ascii="Times New Roman;serif" w:hAnsi="Times New Roman;serif"/>
          <w:b w:val="false"/>
          <w:color w:val="181717"/>
          <w:sz w:val="20"/>
        </w:rPr>
        <w:t xml:space="preserve">there were </w:t>
      </w:r>
      <w:r>
        <w:rPr>
          <w:rFonts w:ascii="Times New Roman;serif" w:hAnsi="Times New Roman;serif"/>
          <w:b w:val="false"/>
          <w:color w:val="000000"/>
          <w:sz w:val="20"/>
        </w:rPr>
        <w:t>170,214,503</w:t>
      </w:r>
      <w:r>
        <w:rPr>
          <w:color w:val="181717"/>
        </w:rPr>
        <w:t xml:space="preserve"> </w:t>
      </w:r>
      <w:r>
        <w:rPr>
          <w:rFonts w:ascii="Times New Roman;serif" w:hAnsi="Times New Roman;serif"/>
          <w:b w:val="false"/>
          <w:color w:val="181717"/>
          <w:sz w:val="20"/>
        </w:rPr>
        <w:t>shares of the Registrant’s Common Stock, $0.0001 par value, outstanding.</w:t>
      </w:r>
    </w:p>
    <w:p>
      <w:pPr>
        <w:pStyle w:val="TextBody"/>
        <w:bidi w:val="0"/>
        <w:spacing w:lineRule="auto" w:line="288" w:before="160" w:after="283"/>
        <w:jc w:val="center"/>
        <w:rPr>
          <w:rFonts w:ascii="Times New Roman;serif" w:hAnsi="Times New Roman;serif"/>
          <w:b w:val="false"/>
          <w:color w:val="181717"/>
          <w:sz w:val="20"/>
        </w:rPr>
      </w:pPr>
      <w:r>
        <w:rPr>
          <w:rFonts w:ascii="Times New Roman;serif" w:hAnsi="Times New Roman;serif"/>
          <w:b w:val="false"/>
          <w:color w:val="181717"/>
          <w:sz w:val="20"/>
        </w:rPr>
        <w:t>DOCUMENTS INCORPORATED BY REFERENCE</w:t>
      </w:r>
    </w:p>
    <w:p>
      <w:pPr>
        <w:pStyle w:val="TextBody"/>
        <w:bidi w:val="0"/>
        <w:spacing w:lineRule="auto" w:line="288" w:before="160" w:after="283"/>
        <w:jc w:val="both"/>
        <w:rPr>
          <w:rFonts w:ascii="Times New Roman;serif" w:hAnsi="Times New Roman;serif"/>
          <w:b w:val="false"/>
          <w:color w:val="181717"/>
          <w:sz w:val="20"/>
        </w:rPr>
      </w:pPr>
      <w:r>
        <w:rPr>
          <w:rFonts w:ascii="Times New Roman;serif" w:hAnsi="Times New Roman;serif"/>
          <w:b w:val="false"/>
          <w:color w:val="181717"/>
          <w:sz w:val="20"/>
        </w:rPr>
        <w:t>Portions of Part III of this Form 10-K are incorporated by reference from the registrant’s definitive proxy statement for its 2026 annual meeting of shareholders, which will be filed with the Securities and Exchange Commission within 120 days after the end of the fiscal year covered by this Form 10-K. Except with respect to information specifically incorporated by reference in this Form 10-K, the proxy statement is not deemed to be filed as part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66"/>
        <w:gridCol w:w="235"/>
        <w:gridCol w:w="236"/>
        <w:gridCol w:w="2993"/>
        <w:gridCol w:w="2944"/>
        <w:gridCol w:w="2957"/>
        <w:gridCol w:w="167"/>
        <w:gridCol w:w="167"/>
        <w:gridCol w:w="240"/>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3">
              <w:r>
                <w:rPr>
                  <w:rStyle w:val="InternetLink"/>
                  <w:rFonts w:ascii="Times New Roman;serif" w:hAnsi="Times New Roman;serif"/>
                  <w:b/>
                  <w:strike w:val="false"/>
                  <w:dstrike w:val="false"/>
                  <w:color w:val="000000"/>
                  <w:sz w:val="20"/>
                  <w:u w:val="none"/>
                  <w:effect w:val="none"/>
                </w:rPr>
                <w:t>Part I</w:t>
              </w:r>
            </w:hyperlink>
          </w:p>
        </w:tc>
        <w:tc>
          <w:tcPr>
            <w:tcW w:w="8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6">
              <w:r>
                <w:rPr>
                  <w:rStyle w:val="InternetLink"/>
                  <w:rFonts w:ascii="Times New Roman;serif" w:hAnsi="Times New Roman;serif"/>
                  <w:b w:val="false"/>
                  <w:color w:val="0000FF"/>
                  <w:sz w:val="20"/>
                  <w:u w:val="single"/>
                </w:rPr>
                <w:t>Item 1. Business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16">
              <w:r>
                <w:rPr>
                  <w:rStyle w:val="InternetLink"/>
                  <w:rFonts w:ascii="Times New Roman;serif" w:hAnsi="Times New Roman;serif"/>
                  <w:b w:val="false"/>
                  <w:color w:val="0000FF"/>
                  <w:sz w:val="20"/>
                  <w:u w:val="single"/>
                </w:rPr>
                <w:t>1</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70">
              <w:r>
                <w:rPr>
                  <w:rStyle w:val="InternetLink"/>
                  <w:rFonts w:ascii="Times New Roman;serif" w:hAnsi="Times New Roman;serif"/>
                  <w:b w:val="false"/>
                  <w:color w:val="0000FF"/>
                  <w:sz w:val="20"/>
                  <w:u w:val="single"/>
                </w:rPr>
                <w:t>Item 1A. 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70">
              <w:r>
                <w:rPr>
                  <w:rStyle w:val="InternetLink"/>
                  <w:rFonts w:ascii="Times New Roman;serif" w:hAnsi="Times New Roman;serif"/>
                  <w:b w:val="false"/>
                  <w:color w:val="0000FF"/>
                  <w:sz w:val="20"/>
                  <w:u w:val="single"/>
                </w:rPr>
                <w:t>6</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73">
              <w:r>
                <w:rPr>
                  <w:rStyle w:val="InternetLink"/>
                  <w:rFonts w:ascii="Times New Roman;serif" w:hAnsi="Times New Roman;serif"/>
                  <w:b w:val="false"/>
                  <w:color w:val="0000FF"/>
                  <w:sz w:val="20"/>
                  <w:u w:val="single"/>
                </w:rPr>
                <w:t>Item 1B. Unresolved Staff Comments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73">
              <w:r>
                <w:rPr>
                  <w:rStyle w:val="InternetLink"/>
                  <w:rFonts w:ascii="Times New Roman;serif" w:hAnsi="Times New Roman;serif"/>
                  <w:b w:val="false"/>
                  <w:color w:val="0000FF"/>
                  <w:sz w:val="20"/>
                  <w:u w:val="single"/>
                </w:rPr>
                <w:t>36</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76">
              <w:r>
                <w:rPr>
                  <w:rStyle w:val="InternetLink"/>
                  <w:rFonts w:ascii="Times New Roman;serif" w:hAnsi="Times New Roman;serif"/>
                  <w:b w:val="false"/>
                  <w:color w:val="0000FF"/>
                  <w:sz w:val="20"/>
                  <w:u w:val="single"/>
                </w:rPr>
                <w:t>Item 1C. Cybersecurity</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76">
              <w:r>
                <w:rPr>
                  <w:rStyle w:val="InternetLink"/>
                  <w:rFonts w:ascii="Times New Roman;serif" w:hAnsi="Times New Roman;serif"/>
                  <w:b w:val="false"/>
                  <w:color w:val="0000FF"/>
                  <w:sz w:val="20"/>
                  <w:u w:val="single"/>
                </w:rPr>
                <w:t>36</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79">
              <w:r>
                <w:rPr>
                  <w:rStyle w:val="InternetLink"/>
                  <w:rFonts w:ascii="Times New Roman;serif" w:hAnsi="Times New Roman;serif"/>
                  <w:b w:val="false"/>
                  <w:color w:val="0000FF"/>
                  <w:sz w:val="20"/>
                  <w:u w:val="single"/>
                </w:rPr>
                <w:t>Item 2. Properties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79">
              <w:r>
                <w:rPr>
                  <w:rStyle w:val="InternetLink"/>
                  <w:rFonts w:ascii="Times New Roman;serif" w:hAnsi="Times New Roman;serif"/>
                  <w:b w:val="false"/>
                  <w:color w:val="0000FF"/>
                  <w:sz w:val="20"/>
                  <w:u w:val="single"/>
                </w:rPr>
                <w:t>37</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82">
              <w:r>
                <w:rPr>
                  <w:rStyle w:val="InternetLink"/>
                  <w:rFonts w:ascii="Times New Roman;serif" w:hAnsi="Times New Roman;serif"/>
                  <w:b w:val="false"/>
                  <w:color w:val="0000FF"/>
                  <w:sz w:val="20"/>
                  <w:u w:val="single"/>
                </w:rPr>
                <w:t>Item 3. 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82">
              <w:r>
                <w:rPr>
                  <w:rStyle w:val="InternetLink"/>
                  <w:rFonts w:ascii="Times New Roman;serif" w:hAnsi="Times New Roman;serif"/>
                  <w:b w:val="false"/>
                  <w:color w:val="0000FF"/>
                  <w:sz w:val="20"/>
                  <w:u w:val="single"/>
                </w:rPr>
                <w:t>37</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85">
              <w:r>
                <w:rPr>
                  <w:rStyle w:val="InternetLink"/>
                  <w:rFonts w:ascii="Times New Roman;serif" w:hAnsi="Times New Roman;serif"/>
                  <w:b w:val="false"/>
                  <w:color w:val="0000FF"/>
                  <w:sz w:val="20"/>
                  <w:u w:val="single"/>
                </w:rPr>
                <w:t>Item 4. 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85">
              <w:r>
                <w:rPr>
                  <w:rStyle w:val="InternetLink"/>
                  <w:rFonts w:ascii="Times New Roman;serif" w:hAnsi="Times New Roman;serif"/>
                  <w:b w:val="false"/>
                  <w:color w:val="0000FF"/>
                  <w:sz w:val="20"/>
                  <w:u w:val="single"/>
                </w:rPr>
                <w:t>37</w:t>
              </w:r>
            </w:hyperlink>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88">
              <w:r>
                <w:rPr>
                  <w:rStyle w:val="InternetLink"/>
                  <w:rFonts w:ascii="Times New Roman;serif" w:hAnsi="Times New Roman;serif"/>
                  <w:b/>
                  <w:strike w:val="false"/>
                  <w:dstrike w:val="false"/>
                  <w:color w:val="000000"/>
                  <w:sz w:val="20"/>
                  <w:u w:val="none"/>
                  <w:effect w:val="none"/>
                </w:rPr>
                <w:t>Part II</w:t>
              </w:r>
            </w:hyperlink>
          </w:p>
        </w:tc>
        <w:tc>
          <w:tcPr>
            <w:tcW w:w="8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91">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91">
              <w:r>
                <w:rPr>
                  <w:rStyle w:val="InternetLink"/>
                  <w:rFonts w:ascii="Times New Roman;serif" w:hAnsi="Times New Roman;serif"/>
                  <w:b w:val="false"/>
                  <w:color w:val="0000FF"/>
                  <w:sz w:val="20"/>
                  <w:u w:val="single"/>
                </w:rPr>
                <w:t>38</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94">
              <w:r>
                <w:rPr>
                  <w:rStyle w:val="InternetLink"/>
                  <w:rFonts w:ascii="Times New Roman;serif" w:hAnsi="Times New Roman;serif"/>
                  <w:b w:val="false"/>
                  <w:color w:val="0000FF"/>
                  <w:sz w:val="20"/>
                  <w:u w:val="single"/>
                </w:rPr>
                <w:t>Item 6. [Reserved]</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94">
              <w:r>
                <w:rPr>
                  <w:rStyle w:val="InternetLink"/>
                  <w:rFonts w:ascii="Times New Roman;serif" w:hAnsi="Times New Roman;serif"/>
                  <w:b w:val="false"/>
                  <w:color w:val="0000FF"/>
                  <w:sz w:val="20"/>
                  <w:u w:val="single"/>
                </w:rPr>
                <w:t>39</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97">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97">
              <w:r>
                <w:rPr>
                  <w:rStyle w:val="InternetLink"/>
                  <w:rFonts w:ascii="Times New Roman;serif" w:hAnsi="Times New Roman;serif"/>
                  <w:b w:val="false"/>
                  <w:color w:val="0000FF"/>
                  <w:sz w:val="20"/>
                  <w:u w:val="single"/>
                </w:rPr>
                <w:t>40</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45">
              <w:r>
                <w:rPr>
                  <w:rStyle w:val="InternetLink"/>
                  <w:rFonts w:ascii="Times New Roman;serif" w:hAnsi="Times New Roman;serif"/>
                  <w:b w:val="false"/>
                  <w:color w:val="0000FF"/>
                  <w:sz w:val="20"/>
                  <w:u w:val="single"/>
                </w:rPr>
                <w:t>Item 7A. 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145">
              <w:r>
                <w:rPr>
                  <w:rStyle w:val="InternetLink"/>
                  <w:rFonts w:ascii="Times New Roman;serif" w:hAnsi="Times New Roman;serif"/>
                  <w:b w:val="false"/>
                  <w:color w:val="0000FF"/>
                  <w:sz w:val="20"/>
                  <w:u w:val="single"/>
                </w:rPr>
                <w:t>51</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48">
              <w:r>
                <w:rPr>
                  <w:rStyle w:val="InternetLink"/>
                  <w:rFonts w:ascii="Times New Roman;serif" w:hAnsi="Times New Roman;serif"/>
                  <w:b w:val="false"/>
                  <w:color w:val="0000FF"/>
                  <w:sz w:val="20"/>
                  <w:u w:val="single"/>
                </w:rPr>
                <w:t>Item 8. Financial Statements and Supplementary Data</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148">
              <w:r>
                <w:rPr>
                  <w:rStyle w:val="InternetLink"/>
                  <w:rFonts w:ascii="Times New Roman;serif" w:hAnsi="Times New Roman;serif"/>
                  <w:b w:val="false"/>
                  <w:color w:val="0000FF"/>
                  <w:sz w:val="20"/>
                  <w:u w:val="single"/>
                </w:rPr>
                <w:t>52</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17">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17">
              <w:r>
                <w:rPr>
                  <w:rStyle w:val="InternetLink"/>
                  <w:rFonts w:ascii="Times New Roman;serif" w:hAnsi="Times New Roman;serif"/>
                  <w:b w:val="false"/>
                  <w:color w:val="0000FF"/>
                  <w:sz w:val="20"/>
                  <w:u w:val="single"/>
                </w:rPr>
                <w:t>83</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20">
              <w:r>
                <w:rPr>
                  <w:rStyle w:val="InternetLink"/>
                  <w:rFonts w:ascii="Times New Roman;serif" w:hAnsi="Times New Roman;serif"/>
                  <w:b w:val="false"/>
                  <w:color w:val="0000FF"/>
                  <w:sz w:val="20"/>
                  <w:u w:val="single"/>
                </w:rPr>
                <w:t>Item 9A. 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20">
              <w:r>
                <w:rPr>
                  <w:rStyle w:val="InternetLink"/>
                  <w:rFonts w:ascii="Times New Roman;serif" w:hAnsi="Times New Roman;serif"/>
                  <w:b w:val="false"/>
                  <w:color w:val="0000FF"/>
                  <w:sz w:val="20"/>
                  <w:u w:val="single"/>
                </w:rPr>
                <w:t>83</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23">
              <w:r>
                <w:rPr>
                  <w:rStyle w:val="InternetLink"/>
                  <w:rFonts w:ascii="Times New Roman;serif" w:hAnsi="Times New Roman;serif"/>
                  <w:b w:val="false"/>
                  <w:color w:val="0000FF"/>
                  <w:sz w:val="20"/>
                  <w:u w:val="single"/>
                </w:rPr>
                <w:t>Item 9B.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23">
              <w:r>
                <w:rPr>
                  <w:rStyle w:val="InternetLink"/>
                  <w:rFonts w:ascii="Times New Roman;serif" w:hAnsi="Times New Roman;serif"/>
                  <w:b w:val="false"/>
                  <w:color w:val="0000FF"/>
                  <w:sz w:val="20"/>
                  <w:u w:val="single"/>
                </w:rPr>
                <w:t>84</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29">
              <w:r>
                <w:rPr>
                  <w:rStyle w:val="InternetLink"/>
                  <w:rFonts w:ascii="Times New Roman;serif" w:hAnsi="Times New Roman;serif"/>
                  <w:b w:val="false"/>
                  <w:color w:val="0000FF"/>
                  <w:sz w:val="20"/>
                  <w:u w:val="single"/>
                </w:rPr>
                <w:t>Item 9C. Disclosure Regarding Foreign Jurisdiction that Prevent Inspections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29">
              <w:r>
                <w:rPr>
                  <w:rStyle w:val="InternetLink"/>
                  <w:rFonts w:ascii="Times New Roman;serif" w:hAnsi="Times New Roman;serif"/>
                  <w:b w:val="false"/>
                  <w:color w:val="0000FF"/>
                  <w:sz w:val="20"/>
                  <w:u w:val="single"/>
                </w:rPr>
                <w:t>85</w:t>
              </w:r>
            </w:hyperlink>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32">
              <w:r>
                <w:rPr>
                  <w:rStyle w:val="InternetLink"/>
                  <w:rFonts w:ascii="Times New Roman;serif" w:hAnsi="Times New Roman;serif"/>
                  <w:b/>
                  <w:strike w:val="false"/>
                  <w:dstrike w:val="false"/>
                  <w:color w:val="000000"/>
                  <w:sz w:val="20"/>
                  <w:u w:val="none"/>
                  <w:effect w:val="none"/>
                </w:rPr>
                <w:t>Part III</w:t>
              </w:r>
            </w:hyperlink>
          </w:p>
        </w:tc>
        <w:tc>
          <w:tcPr>
            <w:tcW w:w="8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35">
              <w:r>
                <w:rPr>
                  <w:rStyle w:val="InternetLink"/>
                  <w:rFonts w:ascii="Times New Roman;serif" w:hAnsi="Times New Roman;serif"/>
                  <w:b w:val="false"/>
                  <w:color w:val="0000FF"/>
                  <w:sz w:val="20"/>
                  <w:u w:val="single"/>
                </w:rPr>
                <w:t>Item 10. Directors, Executive Officers and Corporate Governance</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35">
              <w:r>
                <w:rPr>
                  <w:rStyle w:val="InternetLink"/>
                  <w:rFonts w:ascii="Times New Roman;serif" w:hAnsi="Times New Roman;serif"/>
                  <w:b w:val="false"/>
                  <w:color w:val="0000FF"/>
                  <w:sz w:val="20"/>
                  <w:u w:val="single"/>
                </w:rPr>
                <w:t>86</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38">
              <w:r>
                <w:rPr>
                  <w:rStyle w:val="InternetLink"/>
                  <w:rFonts w:ascii="Times New Roman;serif" w:hAnsi="Times New Roman;serif"/>
                  <w:b w:val="false"/>
                  <w:color w:val="0000FF"/>
                  <w:sz w:val="20"/>
                  <w:u w:val="single"/>
                </w:rPr>
                <w:t>Item 11. Executive Compensation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38">
              <w:r>
                <w:rPr>
                  <w:rStyle w:val="InternetLink"/>
                  <w:rFonts w:ascii="Times New Roman;serif" w:hAnsi="Times New Roman;serif"/>
                  <w:b w:val="false"/>
                  <w:color w:val="0000FF"/>
                  <w:sz w:val="20"/>
                  <w:u w:val="single"/>
                </w:rPr>
                <w:t>86</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41">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41">
              <w:r>
                <w:rPr>
                  <w:rStyle w:val="InternetLink"/>
                  <w:rFonts w:ascii="Times New Roman;serif" w:hAnsi="Times New Roman;serif"/>
                  <w:b w:val="false"/>
                  <w:color w:val="0000FF"/>
                  <w:sz w:val="20"/>
                  <w:u w:val="single"/>
                </w:rPr>
                <w:t>86</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44">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44">
              <w:r>
                <w:rPr>
                  <w:rStyle w:val="InternetLink"/>
                  <w:rFonts w:ascii="Times New Roman;serif" w:hAnsi="Times New Roman;serif"/>
                  <w:b w:val="false"/>
                  <w:color w:val="0000FF"/>
                  <w:sz w:val="20"/>
                  <w:u w:val="single"/>
                </w:rPr>
                <w:t>86</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47">
              <w:r>
                <w:rPr>
                  <w:rStyle w:val="InternetLink"/>
                  <w:rFonts w:ascii="Times New Roman;serif" w:hAnsi="Times New Roman;serif"/>
                  <w:b w:val="false"/>
                  <w:color w:val="0000FF"/>
                  <w:sz w:val="20"/>
                  <w:u w:val="single"/>
                </w:rPr>
                <w:t>Item 14. Principal Accountant Fees and Services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47">
              <w:r>
                <w:rPr>
                  <w:rStyle w:val="InternetLink"/>
                  <w:rFonts w:ascii="Times New Roman;serif" w:hAnsi="Times New Roman;serif"/>
                  <w:b w:val="false"/>
                  <w:color w:val="0000FF"/>
                  <w:sz w:val="20"/>
                  <w:u w:val="single"/>
                </w:rPr>
                <w:t>86</w:t>
              </w:r>
            </w:hyperlink>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50">
              <w:r>
                <w:rPr>
                  <w:rStyle w:val="InternetLink"/>
                  <w:rFonts w:ascii="Times New Roman;serif" w:hAnsi="Times New Roman;serif"/>
                  <w:b/>
                  <w:strike w:val="false"/>
                  <w:dstrike w:val="false"/>
                  <w:color w:val="000000"/>
                  <w:sz w:val="20"/>
                  <w:u w:val="none"/>
                  <w:effect w:val="none"/>
                </w:rPr>
                <w:t>Part IV</w:t>
              </w:r>
            </w:hyperlink>
          </w:p>
        </w:tc>
        <w:tc>
          <w:tcPr>
            <w:tcW w:w="8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53">
              <w:r>
                <w:rPr>
                  <w:rStyle w:val="InternetLink"/>
                  <w:rFonts w:ascii="Times New Roman;serif" w:hAnsi="Times New Roman;serif"/>
                  <w:b w:val="false"/>
                  <w:color w:val="0000FF"/>
                  <w:sz w:val="20"/>
                  <w:u w:val="single"/>
                </w:rPr>
                <w:t>Item 15. Exhibits and Financial Statement Schedules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53">
              <w:r>
                <w:rPr>
                  <w:rStyle w:val="InternetLink"/>
                  <w:rFonts w:ascii="Times New Roman;serif" w:hAnsi="Times New Roman;serif"/>
                  <w:b w:val="false"/>
                  <w:color w:val="0000FF"/>
                  <w:sz w:val="20"/>
                  <w:u w:val="single"/>
                </w:rPr>
                <w:t>87</w:t>
              </w:r>
            </w:hyperlink>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56">
              <w:r>
                <w:rPr>
                  <w:rStyle w:val="InternetLink"/>
                  <w:rFonts w:ascii="Times New Roman;serif" w:hAnsi="Times New Roman;serif"/>
                  <w:b w:val="false"/>
                  <w:color w:val="0000FF"/>
                  <w:sz w:val="20"/>
                  <w:u w:val="single"/>
                </w:rPr>
                <w:t>Item 16. Form 10-K Summary</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56">
              <w:r>
                <w:rPr>
                  <w:rStyle w:val="InternetLink"/>
                  <w:rFonts w:ascii="Times New Roman;serif" w:hAnsi="Times New Roman;serif"/>
                  <w:b w:val="false"/>
                  <w:color w:val="0000FF"/>
                  <w:sz w:val="20"/>
                  <w:u w:val="single"/>
                </w:rPr>
                <w:t>89</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59">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259">
              <w:r>
                <w:rPr>
                  <w:rStyle w:val="InternetLink"/>
                  <w:rFonts w:ascii="Times New Roman;serif" w:hAnsi="Times New Roman;serif"/>
                  <w:b w:val="false"/>
                  <w:color w:val="0000FF"/>
                  <w:sz w:val="20"/>
                  <w:u w:val="single"/>
                </w:rPr>
                <w:t>90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w:t>
        <w:noBreakHyphen/>
        <w:t>K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Annual Report on Form 10</w:t>
        <w:noBreakHyphen/>
        <w:t xml:space="preserve">K, including statements regarding our strategy, future operations, financial position, prospects, plans and objectives of management are forward-looking statements. In some cases, you can identify forward-looking statements because they contain words such as “aims,” “anticipated,” “believes,” “budget,” “can,” “certain,” “committed,” “continue,” “could,” “designed,” “estimates,” “expect,” “future,” “growing,” “indicative,” “intended,” “may,” “mission,” “opportunities,” “plan,” “position,” “potential,” “predict,” “probable,” “projections,” “scheduled,” “should,” “to be,” “will,” or “would,” or the negative of these words or other similar terms or expressions. Forward-looking statements include, but are not limited to, statements relating to our business plans, strategies, market or investment opportunities, platform, products and services, including future investments therein and anticipated benefits therefrom; demand; our future financial or operating performance and growth (such as revenue, gross profit and margins, expenses, income (losses) and other operating results); our future cash flows, expenditures, requirements, uses, sufficiency and funding sources; our accounting practices and policies (including the impacts associated with them and accounting pronouncements, estimates, accruals, amortizations, commitments/contingencies, warrant vesting, the period over which expenses are expected to be realized and non-GAAP financial measures); our taxes; our personnel and operations; our disclosure and internal controls, procedures and remediation efforts; our lease terms, including any renewal and future payments; our risk factors; our merger and acquisition activities; and our legal and compliance matters such as legal proceedings and 10b5-1 trading arrangements. </w:t>
      </w:r>
    </w:p>
    <w:p>
      <w:pPr>
        <w:pStyle w:val="TextBody"/>
        <w:bidi w:val="0"/>
        <w:spacing w:lineRule="auto" w:line="288" w:before="120" w:after="283"/>
        <w:ind w:left="0" w:right="0" w:firstLine="576"/>
        <w:jc w:val="both"/>
        <w:rPr>
          <w:rFonts w:ascii="Times New Roman;serif" w:hAnsi="Times New Roman;serif"/>
          <w:b w:val="false"/>
          <w:color w:val="000000"/>
          <w:sz w:val="20"/>
        </w:rPr>
      </w:pPr>
      <w:r>
        <w:rPr>
          <w:rFonts w:ascii="Times New Roman;serif" w:hAnsi="Times New Roman;serif"/>
          <w:b w:val="false"/>
          <w:color w:val="000000"/>
          <w:sz w:val="20"/>
        </w:rPr>
        <w:t>We may not actually achieve the plans, intentions, expectations or events disclosed in our forward-looking statements, and you should not place undue reliance on our forward-looking statements. Forward-looking statements are subject to risks, uncertainties and other factors described under the heading “Risk Factors” included in this Annual Report on Form 10</w:t>
        <w:noBreakHyphen/>
        <w:t>K. The following include some, but not all, of the factors that could cause the outcome of the events described in our forward-looking statements to differ from those anticipated: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sustain and manage our growth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future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accurately predict future revenue for appropriate budgeting and expense adjustment;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anticipate and respond to new and evolving market trends or industry standards, develop and sell new products, or penetrate new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customer concentration, with a limited number of end customers driving our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achieve product design wins and opportunities for customer sales and investment recoupment;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demonstrate the value of new products or newer product generations to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AI technology adoption, use, and commercialization;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and relationship management of, a limited number of third-party manufacturing and supply chain services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qualify our products with customers without significant delays;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product pricings often decrease over time;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product supply disruptions, unforeseen product delays, expenses or undetected defects, bugs, or security vulnerabilities;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the political, regulatory, and economic policies of governments, including in connection with trade restrictions and export controls with respect to China and Chinese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hire and retain skilled personnel and senior management team members;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warranty claims or product liability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litigation and other legal proceedings, including related to patents or other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integrate and to realize anticipated benefits or synergies, on a timely basis or at all, in connection with our past, current, or any future acquisitions, divestitures, significant investments, joint ventures or strategic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global operational risks, including exposure to numerous legal and regulatory requirements and unexpected changes and compliance failures;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risks of authorities in jurisdictions into or from which we ship our products or import supplies levying fines, restricting or delaying our product exports or supply imports, or increasing product manufacturing or transfer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rules or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competitive markets and ability to compete effectively, including as a result of industry consolidation;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adequately protect our intellectual property rights;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third-party technologies for product development and future ability to use such technologies;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financial and economic conditions and geopolitical events, including fluctuating interest, inflation, foreign currency and unemployment rates, economic slowdowns or recessions, or financial market volatility, including as a result of, among other factors, the ongoing Russia and Ukraine war, the Middle East conflict, announced or future tariff increases and export controls between the U.S. and China, international tensions or instability, significant changes in governmental policies or similar events.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Annual Report on Form 10</w:t>
        <w:noBreakHyphen/>
        <w:t>K. You should not rely upon forward-looking statements as predictions of future events.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Annual Report on Form 10-K primarily on management’s current beliefs and our current expectations and projections about future events and trends that we believe may affect our business, results of operations, financial condition, and prospects. In addition, statements that “we believe” and similar statements reflect our beliefs and opinions on the relevant subject. These statements are based upon information available to us as of the date of this Annual Report on Form 10</w:t>
        <w:noBreakHyphen/>
        <w:t>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Annual Report on Form 10</w:t>
        <w:noBreakHyphen/>
        <w:t>K relate only to events as of the date on which the statements are made. We undertake no obligation to update any forward-looking statements made in this Annual Report on Form 10</w:t>
        <w:noBreakHyphen/>
        <w:t>K to reflect events or circumstances after the date of this Annual Report on Form 10</w:t>
        <w:noBreakHyphen/>
        <w:t xml:space="preserve">K or to reflect new information or the occurrence of unanticipated events, except as required by law.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this document, unless otherwise indicated or unless the context requires otherwise, all references in this document to “Astera Labs”, “the Company”, “we”, “us”, “our”, or similar references are to Astera Labs,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mission is to innovate, design, and deliver semiconductor-based connectivity solutions that are purpose-built to unleash the full potential of cloud and AI infrastructure.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Building on years of experience with a singular focus on addressing connectivity challenges in data-centric systems, we have developed and deployed our leading Intelligent Connectivity Platform built from the ground up for cloud and AI infrastructure. Our Intelligent Connectivity Platform comprises of semiconductor-based, high-speed, mixed-signal connectivity products that integrate a matrix of microcontrollers and sensors, and COSMOS, our software suite, which is embedded in our connectivity products and integrated into our customers’ systems.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Intelligent Connectivity Platform provides our customers with the ability to deploy and operate high-performance cloud and AI infrastructure at scale, addressing an increasingly diverse set of requirements. We provide our connectivity products in various form factors including Integrated Circuits (“ICs”), boards, and modules. Our patented software-defined platform approach delivers critical connectivity performance, enables flexibility and customization, and supports observability and predictive analytics. This approach aims to efficiently address the data, network, and memory bottlenecks, scalability, and other unique infrastructure requirements of our hyperscaler and system OEM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trusted relationships with the leading hyperscalers and collaboration with data center infrastructure suppliers, our platform is designed to meet our customers’ unique cloud scale requirements. Our COSMOS software suite is foundational to our Intelligent Connectivity Platform and is designed to enable our customers to seamlessly configure, manage, monitor, optimize, troubleshoot, and customize functions in our IC, board, and module 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Today, our connectivity solutions are at the heart of major AI platforms deployed worldwide featuring both commercially available Graphic Processing Units (“GPUs”) and proprietary AI accelerators. We offer our customers four product families across multiple form factors including ICs, boards, and modules, shipping millions of devices across leading hyperscalers. Our products, which include Aries PCIe®/CXL® Smart DSP Retimers, Aries PCIe®/CXL® Smart Cable Modules™, Taurus Ethernet Smart Cable Modules™, Leo CXL Memory Connectivity Controllers, and Scorpio Smart Fabric Switches are built upon industry standard connectivity protocols such as Peripheral Component Interconnect Express (“PCIe”), Ethernet, and Compute Express Link (“CXL”) to address the growing demand for purpose-built connectivity solutions that solve critical data, network, and memory bottlenecks inherent in cloud and AI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Industry 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Astera Labs is a global semiconductor company that provides hardware and software solutions for AI and cloud infrastructure applications to solve data, memory, and networking bottlenecks. We believe we are well-positioned to benefit from the AI and cloud infrastructures positive trends by addressing the industry’s next generation of connectivity challenges driven by increasing speed requirements and system complexity. Several of these trends and challenges include the rapid global adoption of cloud computing, which has led to increasing demand for compute-intensive AI workloads that are truly optimized only when deployed at cloud scale; increasing use of AI and increasingly larger and more complex AI workloads, and the need for purpose-built connectivity solutions that connect GPUs and other AI accelerators with each other directly or between servers to unleash AI accelerators’ full potential at cloud scale and solve critical data, network, and memory bottlenecks.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Our Products and Solutions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recent years, we have successfully introduced four revenue-generating product families across multiple form factors including ICs, boards, and modules that are built upon our software-defined IC architecture. Additionally, we have developed a software suite that is embedded in our connectivity products and integrated into our customers’ systems.</w:t>
      </w:r>
    </w:p>
    <w:p>
      <w:pPr>
        <w:pStyle w:val="TextBody"/>
        <w:bidi w:val="0"/>
        <w:spacing w:lineRule="auto" w:line="288" w:before="120" w:after="283"/>
        <w:jc w:val="both"/>
        <w:rPr/>
      </w:pPr>
      <w:r>
        <w:rPr>
          <w:rFonts w:ascii="Times New Roman;serif" w:hAnsi="Times New Roman;serif"/>
          <w:b/>
          <w:i/>
          <w:color w:val="000000"/>
          <w:sz w:val="20"/>
        </w:rPr>
        <w:t>Aries PCIe®/CXL® Smart DSP Retimers and Aries PCIe®/CXL® Smart Cable Modules™.</w:t>
      </w:r>
      <w:r>
        <w:rPr>
          <w:color w:val="000000"/>
        </w:rPr>
        <w:t xml:space="preserve"> </w:t>
      </w:r>
      <w:r>
        <w:rPr>
          <w:rFonts w:ascii="Times New Roman;serif" w:hAnsi="Times New Roman;serif"/>
          <w:b w:val="false"/>
          <w:color w:val="000000"/>
          <w:sz w:val="20"/>
        </w:rPr>
        <w:t>Our Aries products, which include our COSMOS software suite, are essential to enable higher PCIe/CXL data bandwidth and lower latency interconnectivity between various heterogeneous compute processors, storage, and network controllers. Aries digitally recovers degraded high-speed signals and retransmits a clean copy of the data, thereby extending the reach of existing cost-effective interconnects, while enabling higher data bandwidth. Aries Smart Cable Modules are highly integrated systems consisting of the Aries PCIe Smart Retimer integrated circuit (IC) and peripheral components assembled on multiple form factors. The paddle card module is designed to be integrated into Active Electrical Cable (AEC) assemblies supporting a variety of applications, such as straight cables and breakout cables.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Taurus Ethernet Smart Cable Modules™.</w:t>
      </w:r>
      <w:r>
        <w:rPr>
          <w:color w:val="000000"/>
        </w:rPr>
        <w:t xml:space="preserve"> </w:t>
      </w:r>
      <w:r>
        <w:rPr>
          <w:rFonts w:ascii="Times New Roman;serif" w:hAnsi="Times New Roman;serif"/>
          <w:b w:val="false"/>
          <w:color w:val="000000"/>
          <w:sz w:val="20"/>
        </w:rPr>
        <w:t>Our Taurus products are hardware modules based on our Taurus ICs that increase network connectivity bandwidth between servers and switches over copper media. Taurus modules incorporate our COSMOS software suite and extend Ethernet signaling reach at higher data rates, providing cost-effective, rack-level network connectivity for cloud and AI infrastructure, removing rack-level Ethernet connectivity bottlenecks.</w:t>
      </w:r>
    </w:p>
    <w:p>
      <w:pPr>
        <w:pStyle w:val="TextBody"/>
        <w:bidi w:val="0"/>
        <w:spacing w:lineRule="auto" w:line="288" w:before="120" w:after="283"/>
        <w:jc w:val="both"/>
        <w:rPr/>
      </w:pPr>
      <w:r>
        <w:rPr>
          <w:rFonts w:ascii="Times New Roman;serif" w:hAnsi="Times New Roman;serif"/>
          <w:b/>
          <w:i/>
          <w:color w:val="000000"/>
          <w:sz w:val="20"/>
        </w:rPr>
        <w:t>Leo CXL Memory Connectivity Controllers.</w:t>
      </w:r>
      <w:r>
        <w:rPr>
          <w:color w:val="000000"/>
        </w:rPr>
        <w:t xml:space="preserve"> </w:t>
      </w:r>
      <w:r>
        <w:rPr>
          <w:rFonts w:ascii="Times New Roman;serif" w:hAnsi="Times New Roman;serif"/>
          <w:b w:val="false"/>
          <w:color w:val="000000"/>
          <w:sz w:val="20"/>
        </w:rPr>
        <w:t>Our Leo products allow our customers to overcome processor memory bandwidth bottlenecks and capacity limitations, while leveraging our COSMOS software suite’s built-in memory management and deep diagnostic capabilities. Leo ICs and boards enable expanding, sharing, and pooling of industry standard DRAM memory over high-speed serial links to support memory-intensive workloads running on AI accelerators and CPUs.</w:t>
      </w:r>
    </w:p>
    <w:p>
      <w:pPr>
        <w:pStyle w:val="TextBody"/>
        <w:bidi w:val="0"/>
        <w:spacing w:lineRule="auto" w:line="288" w:before="120" w:after="283"/>
        <w:jc w:val="both"/>
        <w:rPr/>
      </w:pPr>
      <w:r>
        <w:rPr>
          <w:rFonts w:ascii="Times New Roman;serif" w:hAnsi="Times New Roman;serif"/>
          <w:b/>
          <w:i/>
          <w:color w:val="000000"/>
          <w:sz w:val="20"/>
        </w:rPr>
        <w:t xml:space="preserve">Scorpio Smart Fabric Switches. </w:t>
      </w:r>
      <w:r>
        <w:rPr>
          <w:rFonts w:ascii="Times New Roman;serif" w:hAnsi="Times New Roman;serif"/>
          <w:b w:val="false"/>
          <w:color w:val="000000"/>
          <w:sz w:val="20"/>
        </w:rPr>
        <w:t xml:space="preserve">Our Scorpio products are purpose-built to enable our hyperscaler customers to deploy AI platforms at rapid pace and scale by improving energy efficiency, optimizing performance per watt, increasing AI accelerator utilization, reducing time to market, and maximizing uptime with our COSMOS software suite. Scorpio P-Series for PCIe Gen 6.0 connectivity is architected to support mixed traffic head-node connectivity across a diverse ecosystem of PCIe hosts and endpoints. Scorpio X-Series for GPU clustering is designed to deliver back-end GPU-to-GPU bandwidth with platform specific customization. </w:t>
      </w:r>
    </w:p>
    <w:p>
      <w:pPr>
        <w:pStyle w:val="TextBody"/>
        <w:bidi w:val="0"/>
        <w:spacing w:lineRule="auto" w:line="288" w:before="120" w:after="283"/>
        <w:jc w:val="both"/>
        <w:rPr/>
      </w:pPr>
      <w:r>
        <w:rPr>
          <w:rFonts w:ascii="Times New Roman;serif" w:hAnsi="Times New Roman;serif"/>
          <w:b/>
          <w:i/>
          <w:color w:val="000000"/>
          <w:sz w:val="20"/>
        </w:rPr>
        <w:t xml:space="preserve">COSMOS Software Suite. </w:t>
      </w:r>
      <w:r>
        <w:rPr>
          <w:rFonts w:ascii="Times New Roman;serif" w:hAnsi="Times New Roman;serif"/>
          <w:b w:val="false"/>
          <w:color w:val="000000"/>
          <w:sz w:val="20"/>
        </w:rPr>
        <w:t>Our COSMOS software suite is foundational to our Intelligent Connectivity Platform. COSMOS is designed to enable our hyperscaler customers to seamlessly configure, manage, monitor, optimize, troubleshoot, and customize functions in our IC, board, and module products. COSMOS has a software component that operates on our customers’ operating systems, and interfaces with other COSMOS software components running on microcontrollers integrated into our ICs, boards, and modules.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software suite provides three distinct capabilities to our customers that include Link Management, Fleet Management, and Reliability, Availability, Serviceability (“RAS”).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Ecosystem and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customers include major hyperscalers, leading AI accelerator vendors (including GPU vendors), and system OEMs. We collaborate closely with our customers’ manufacturing and design partners, our ecosystem partners, and, importantly, directly with our customers. For instance, we have developed multiple reference and/or commercial designs with different processor vendors.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engage with our customers and data center infrastructure suppliers through our Interop Lab, where industry participants work together to establish compatibility, and stress-test products early in their product development process and prior to large-scale deployments. These tests validate performance and interoperability between our connectivity products and other data center infrastructure suppliers’ products in real-world scenarios to minimize interoperation risk, reduce system development costs, lower unplanned downtime, and accelerate time-to-market. We enhance the value of our platform with our Interop Lab and by providing early interoperability reports with other data center infrastructure suppliers.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sell our products directly to our customers and through distributors. Our distributors are primarily focused on fulfillment and logistical purposes, rather than selling, marketing, or providing technical support for our products. Our customers are closely involved in the design and often dictate the sourcing decisions for the systems that incorporate our products. They often engage third party contract manufacturers and design partners to manufacture their systems.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customers are defined as our end customers, our end customers’ manufacturing partners, and our distributors. When the context requires, we may use “end customers,” which are primarily hyperscalers and System OEMs, to distinguish from our end customers’ manufacturing partners and our distributors. When used in our audited consolidated financial statements included in Part II, Item 8 of this Annual Report, “customers” refers to parties we directly invoice for products or services, which primarily include our end customers’ manufacturing partners and our distributors.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and marketing strategy is to maintain a deep understanding of our customers’ needs and to design products that are specifically tailored to each customer’s unique requirements. Our deep market knowledge, successful execution track record, and customer trust allow us to identify opportunities for new product design wins as well as for our product roadmap.</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focus our sales and marketing efforts on hyperscalers, leading AI accelerator vendors, and system OEMs. The universe of available end customers in our industry is small and concentrated, and as a result, it is very important to our success that we maintain strong and collaborative relationships with the end customers in our industry. For example,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2025, our top three end customers represented an aggregate of approximately 86% of our revenue. Our arrangements with our customers are typically effected via purchase orders for specific products. These purchase orders dictate the material terms of the arrangement, such as purchase price, purchase quantity, delivery date, and delivery destination.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primarily sell our products to distributors and our end customers’ manufacturing partners, whom are primarily located in North America and Asia. Once sold, our products are typically incorporated into hyperscaler, leading AI accelerator vendor, and OEM systems. These systems are deployed in data center infrastructure around the world. Because of the global deployment of our products, we maintain a field applications engineering (“FAE”) team, which provides customers with on-site technical resources as required. Our FAE teams are located near customer research and development sites in North America and Asia, including Israel. Our field teams are internally supported by product applications engineers, marketing, and business development teams in North America and Asia, including Israel.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Manufacturing and Suppliers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third parties to manufacture our products, which include ICs, boards, and modules. The manufacturing process is subject to extensive testing and verification. We use a fabless manufacturing model and partner with TSMC to fabricate all of our ICs. We use Advanced Semiconductor Engineering and Amkor Technologies to assemble, package, and test our ICs. We also rely on a small, limited number of other manufacturing partners for our modules, boards, and IC substrates.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committed to supplying the highest quality devices to meet the most stringent demands of the world’s largest hyperscalers. As a result, our supply chain is optimized for quality and for rapid high-volume increases in production.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is important that our products meet and exceed the Joint Electron Device Engineering Council (“JEDEC”) specifications that define the methodology for reliability testing and qualification of electrical components. Our quality management includes high production test coverage and full product traceability. We have a dedicated quality team, which allows us to continuously monitor our customers’ feedback and improve our product quality by incorporating that feedback into our designs. Our partners and suppliers are committed to complying with Registration, Evaluation, Authorization, and Restriction of Chemicals (“REACH”), Restriction of Hazardous Substances Directive (“RoHS”), and industry standards. We are focused on sourcing components and materials that lessen our environmental footprint.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cloud-based approach to research and development is a valuable competitive strength. We use the cloud to both design new products and improve upon existing products. By harnessing the scale of cloud computing, we accelerate the speed of our research and development efforts, which in turn allows us to get to market faster and more efficiently. We partner with Electronic Design Automation (“EDA”) tool providers to run physical design and development flows in the cloud. With this approach, we can quickly simulate thousands of regressions in parallel with the most up to date and high-performance servers. This enables us to significantly increase our design verification iterations, leading to high quality tapeouts and an overall expedited development schedule.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efforts focus on connectivity infrastructure for high-performance data center applications. We have committed, and intend to continue to commit, significant financial and other resources to technology and product innovation and development. We invest heavily in a global team of highly skilled engineers, with dedicated research and development offices in United States, Canada, Germany, India, Israel, Singapore, and Vietnam.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obtain and maintain intellectual property protection for our brand, products and technology, defend and enforce our intellectual property rights,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intellectual property rights. We rely on a combination of intellectual property rights, including patents, copyrights, trademarks, trade secrets, and contractual protections, to protect our core technology.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owned 26 issued patents and 35 pending patent applications in the United States, and one issued patent and five pending patent applications in foreign jurisdictions. Our issued patents and pending patent applications generally relate to interconnect and memory control technology, and printed circuit board and package designs. These issued patents, and any patents granted from our pending patent applications, are expected to expire between 2039 and 2044, without taking potential patent term extensions or adjustments into account. We routinely review our development efforts to assess the existence and patentability of new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Moreover, we rely, in part, on trade secrets to protect aspects of our business that are not amenable to, or that we do not consider appropriate for, patent protection. However, trade secrets can be difficult to protect. While we take commercially reasonable steps to protect and maintain our trade secrets, including by entering into confidentiality agreements with our employees, consultants, and contractors and by maintaining physical security of our premises and physical and electronic security of our information technology systems, such measures may not prove to be adequate and there may not be any available remedies. In addition, our trade secrets may otherwise become known or be independently discovered by competitors or others.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protect our brand through common law trademark protections and trademark registrations. As of December 31, 2025, we owned trademark registrations for “ASTERA LABS” in the United States, European Union, Japan, Singapore, Taiwan, United Kingdom, and Vietnam. We also have related foreign trademark applications that are pending.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offer a differentiated and holistic Intelligent Connectivity Platform purpose-built for cloud and AI infrastructure workloads. Our competitors typically compete with us with respect to some, but not all, of our solutions. Our principal competitors include Broadcom, Inc., Credo Technology Group Holding Ltd., Marvell Technology, Inc., Microchip Technology Inc., Montage Technology, Parade Technologies, Ltd., and Rambus, Inc.</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principal competitive factors in our market include: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Ability to provide a complete platform coupled with software and interoperability reports that ensure ease of integration and customer adoption;</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Product performance in terms of high data throughput, low latency connectivity, robust signal integrity to overcome extended channel insertion loss, and scalable memory expansion;</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Customization to support the specific requirements of each hyperscaler throughout the lifecycle of their infrastructure;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Interoperability with major host processors and endpoint devices to ensure seamless system operation;</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Near-zero defect tolerance along with stringent qualification processes meeting industry standards and the specific customer requirements;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Server-grade RAS;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Sophisticated link telemetry features that enable signal monitoring at scale;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Ease of making software updates to products to ensure regular software suite enhancements; and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Ability to deliver products at large volumes in a timely manner to the quality standards required by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 total of 756 full-time employees globally, with 527 in North America, 208 in Asia, and 21 in Europe. We also supplement our workforce with additional contractors and consultants.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our knowledge, none of our employees are represented by a labor union or covered by a collective bargaining agreement. We have not experienced any work stoppages, and we consider our relations with our employees to be good. Our human capital resource objectives include, as applicable, identifying, recruiting, retaining, incentivizing, and integrating our existing and new employees.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We are subject to the laws and regulations of various jurisdictions and governmental agencies affecting our operations and the sale of our products in areas including, but not limited to: intellectual property; tax; import and export requirements; anti-corruption; economic and trade sanctions; national security and foreign investment; foreign exchange controls and cash repatriation restrictions; data privacy and security requirements (such as the </w:t>
      </w:r>
      <w:r>
        <w:rPr>
          <w:rFonts w:ascii="Times New Roman;serif" w:hAnsi="Times New Roman;serif"/>
          <w:b w:val="false"/>
          <w:color w:val="231F20"/>
          <w:sz w:val="20"/>
        </w:rPr>
        <w:t xml:space="preserve">California Consumer Privacy Act of 2018 (the “CCPA”) and </w:t>
      </w:r>
      <w:r>
        <w:rPr>
          <w:rFonts w:ascii="Times New Roman;serif" w:hAnsi="Times New Roman;serif"/>
          <w:b w:val="false"/>
          <w:color w:val="000000"/>
          <w:sz w:val="20"/>
        </w:rPr>
        <w:t>the European Union General Data Protection Regulation with respect to the European Economic Area, and the United Kingdom (“UK”) General Data Protection Regulation, with respect to the UK, (collectively, the “GDPR”)</w:t>
      </w:r>
      <w:r>
        <w:rPr>
          <w:rFonts w:ascii="Times New Roman;serif" w:hAnsi="Times New Roman;serif"/>
          <w:b w:val="false"/>
          <w:color w:val="231F20"/>
          <w:sz w:val="20"/>
        </w:rPr>
        <w:t>)</w:t>
      </w:r>
      <w:r>
        <w:rPr>
          <w:rFonts w:ascii="Times New Roman;serif" w:hAnsi="Times New Roman;serif"/>
          <w:b w:val="false"/>
          <w:color w:val="000000"/>
          <w:sz w:val="20"/>
        </w:rPr>
        <w:t xml:space="preserve">; competition; advertising; employment; product regulations; environment, health and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requirements; and consumer laws. To date, costs and accruals incurred to comply with these governmental regulations have not been material to our capital expenditures and results of operations. Although there is no assurance that existing or future governmental laws and regulations applicable to our operations and the sale of our products will not have a material adverse effect on our capital expenditures, results of operations, and competitive position, we do not currently anticipate material expenditures for government regulations. Nonetheless, we believe that significant changes in global trade regulations could potentially have a material impact on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global company, the import and export of our products and technology are subject to laws and regulations including international treaties, U.S. export controls and sanctions laws, customs regulations, and local trade rules around the world. The scope, nature, and severity of such controls vary widely across different countries and may change frequently over time. Such laws, rules, and regulations may delay the introduction of some of our products or impact our competitiveness through restricting our ability to do business in certain places or with certain entities and individuals. For example, the U.S. Department of Commerce continues to add Chinese firms to the Entity List. These export restrictions, which would require that we obtain licenses from the U.S. Department of Commerce to allow us to export products to such listed firms, will likely limit or prevent us from doing business with certain potential customers or potential suppliers. These restrictive governmental actions and any similar measures that may be imposed on U.S. companies by other governments, especially in light of ongoing trade tensions between the United States and other countries, particularly China, could limit our ability to conduct business globally.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the section titled “Risk Factors” for additional information regarding risks we face related to government regulation.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Annual Reports on Form 10-K, Quarterly Reports on Form 10-Q, and Current Reports on Form 8-K, including exhibits, and amendments to reports filed pursuant to Sections 13(a) and 15(d) of the Securities Exchange Act of 1934, as amended (the “Exchange Act”), are filed with the U.S. Securities and Exchange Commission (the “SEC”). We are subject to the informational requirements of the Exchange Act and file or furnish reports, proxy statements, and other information with the SEC. Such reports and other information filed by us with the SEC are available free of charge on our website at https://asteralabs.gcs-web.com/financials/sec-filings when such reports are available on the SEC's website. We use https://asteralabs.gcs-web.com/news-events/news-releases as means of disclosing material non-public information and for complying with our disclosure obligations under Regulation FD.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SEC maintains an Internet site that contains reports, proxy and information statements, and other information regarding issuers that file electronically with the SEC at www.sec.gov. The contents of the websites referred to above are not incorporated into this filing. Further, our references to the URLs for these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 xml:space="preserve">Item 1A. Risk Factors </w:t>
      </w:r>
    </w:p>
    <w:p>
      <w:pPr>
        <w:pStyle w:val="TextBody"/>
        <w:bidi w:val="0"/>
        <w:spacing w:lineRule="auto" w:line="288" w:before="240" w:after="283"/>
        <w:ind w:left="0" w:right="0" w:firstLine="450"/>
        <w:jc w:val="both"/>
        <w:rPr>
          <w:rFonts w:ascii="Times New Roman;serif" w:hAnsi="Times New Roman;serif"/>
          <w:b w:val="false"/>
          <w:i/>
          <w:color w:val="231F20"/>
          <w:sz w:val="20"/>
        </w:rPr>
      </w:pPr>
      <w:r>
        <w:rPr>
          <w:rFonts w:ascii="Times New Roman;serif" w:hAnsi="Times New Roman;serif"/>
          <w:b w:val="false"/>
          <w:i/>
          <w:color w:val="231F20"/>
          <w:sz w:val="20"/>
        </w:rPr>
        <w:t>Our operations and financial results are subject to various risks and uncertainties, including those described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The risks described below are not the only ones we face and we could be harmed by risks and uncertainties not currently known to us or that we do not currently believe to be material. If any of these risks actually occur, our business, results of operations, financial condition, and prospects could be materially adversely affected. In that event, the trading price of our common stock could decline, and you could lose part or all of your investment. You should not interpret our disclosure of any of the following risks to imply that such risks have not already materialized. Certain statements contained in the risk factors described below are forward-looking statements. See the section titled “Special Note Regarding Forward-Looking Statements” for more information.</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240" w:after="283"/>
        <w:ind w:left="0" w:right="0" w:firstLine="360"/>
        <w:jc w:val="both"/>
        <w:rPr>
          <w:rFonts w:ascii="Times New Roman;serif" w:hAnsi="Times New Roman;serif"/>
          <w:b/>
          <w:color w:val="231F20"/>
          <w:sz w:val="20"/>
        </w:rPr>
      </w:pPr>
      <w:r>
        <w:rPr>
          <w:rFonts w:ascii="Times New Roman;serif" w:hAnsi="Times New Roman;serif"/>
          <w:b/>
          <w:color w:val="231F20"/>
          <w:sz w:val="20"/>
        </w:rPr>
        <w:t xml:space="preserve">Risks Related to Our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not sustain our growth rate, and we may not be able to manage future growth effectively;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limited history of generating net income, and if we are unable to achieve adequate revenue growth while our expenses increase, we may not maintain profitability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have </w:t>
      </w:r>
      <w:r>
        <w:rPr>
          <w:rFonts w:ascii="Times New Roman;serif" w:hAnsi="Times New Roman;serif"/>
          <w:b w:val="false"/>
          <w:color w:val="231F20"/>
          <w:sz w:val="20"/>
        </w:rPr>
        <w:t>rapidly grown as a business in dynamic and rapidly evolving markets</w:t>
      </w:r>
      <w:r>
        <w:rPr>
          <w:rFonts w:ascii="Times New Roman;serif" w:hAnsi="Times New Roman;serif"/>
          <w:b w:val="false"/>
          <w:color w:val="000000"/>
          <w:sz w:val="20"/>
        </w:rPr>
        <w:t>, and we may have difficulty accurately predicting our future revenue for the purpose of appropriately budgeting and adjusting our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unsuccessful in anticipating and responding to new market trends and evolving industry standards, developing and selling new products, or penetrating new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substantial portion of our revenue is driven by a limited number of our end customers, and the loss of, or a significant reduction in, demand from one or a few of our top end customers would adversely affect our operations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fail to achieve design wins for our products, we may lose the opportunity for sales to customers for a significant period of time and be unable to recoup our investments in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experience difficulties demonstrating to customers the value of our new products or newer generations of our existing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adoption, use, and commercialization of AI technology, and the continued rapid pace of developments in the AI field, are inherently uncertain. Failure by our customers to continue to adopt infrastructure to support AI use cases in their systems, or our ability to keep up with evolving AI infrastructure requirements, could have a material adverse effect on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rely on a limited number of third-party manufacturing partners for our manufacturing and supply chain services, and the failure to manage our relationships successfully with our third-party manufacturing partners in order to obtain adequate services and supplies could adversely affect our ability to market and sell our products and our reputation;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customers require our products and our third-party manufacturing partners to undergo a lengthy and expensive qualification process, which does not assure volume product sales. If we are unsuccessful or delayed in qualifying any of our products with a customer, our business and operating results would suffer;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Pricing for the current generation of our existing products often decreases over time, which could negatively impact our revenue and gross margins;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pursue acquisitions, investments, joint ventures, and dispositions, which could adversely affect our results of operations, and any acquisitions we do make could disrupt our business and harm our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generally do not maintain long-term supply contracts with our third-party manufacturing partners, and any disruption in our supply of products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complexity of our products could result in unforeseen delays or expense or undetected defects, bugs, or security vulnerabilities, which could adversely affect the market acceptance of new products, damage our reputation with current or prospective customers, and materially and adversely affect our operating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changes in the political, regulatory, and economic policies of governments in connection with trade with China and Chinese customers have reduced the demand for our products and damaged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would be adversely affected by the departure of existing members of our senior management team;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Cybersecurity risks, including cyber-attacks, cybersecurity incidents, data breaches, and system vulnerabilities could adversely affect our business and disrupt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subject to warranty claims and product liability;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Litigation and other legal proceedings may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business, financial condition, and results of operations could be adversely affected by worldwide economic conditions, as well as political and economic conditions in the countries in which we conduct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occurrence of events for which we are self-insured, or which exceed our insurance limits, may adversely affect our profitability and liquidity;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global operations expose us to numerous legal and regulatory requirements and failure to comply with such requirements, including unexpected changes to such requirements, could adversely affect our results of operations;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existing tax laws, tax rules, or tax practices may adversely affect our financial results.</w:t>
      </w:r>
    </w:p>
    <w:p>
      <w:pPr>
        <w:pStyle w:val="TextBody"/>
        <w:bidi w:val="0"/>
        <w:spacing w:lineRule="auto" w:line="288" w:before="240" w:after="283"/>
        <w:ind w:left="0" w:right="0" w:firstLine="360"/>
        <w:jc w:val="both"/>
        <w:rPr>
          <w:rFonts w:ascii="Times New Roman;serif" w:hAnsi="Times New Roman;serif"/>
          <w:b/>
          <w:color w:val="231F20"/>
          <w:sz w:val="20"/>
        </w:rPr>
      </w:pPr>
      <w:r>
        <w:rPr>
          <w:rFonts w:ascii="Times New Roman;serif" w:hAnsi="Times New Roman;serif"/>
          <w:b/>
          <w:color w:val="231F20"/>
          <w:sz w:val="20"/>
        </w:rPr>
        <w:t>Risks Related to Our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operate in intensely competitive markets. Our failure to compete effectively, including as a result of industry consolidation, would harm our results of operations.</w:t>
      </w:r>
    </w:p>
    <w:p>
      <w:pPr>
        <w:pStyle w:val="TextBody"/>
        <w:bidi w:val="0"/>
        <w:spacing w:lineRule="auto" w:line="288" w:before="240" w:after="283"/>
        <w:ind w:left="0" w:right="0" w:firstLine="360"/>
        <w:jc w:val="both"/>
        <w:rPr>
          <w:rFonts w:ascii="Times New Roman;serif" w:hAnsi="Times New Roman;serif"/>
          <w:b/>
          <w:color w:val="231F20"/>
          <w:sz w:val="20"/>
        </w:rPr>
      </w:pPr>
      <w:r>
        <w:rPr>
          <w:rFonts w:ascii="Times New Roman;serif" w:hAnsi="Times New Roman;serif"/>
          <w:b/>
          <w:color w:val="231F20"/>
          <w:sz w:val="20"/>
        </w:rPr>
        <w:t>Risks Related to our Intellectual Property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failure to protect our intellectual property rights adequately could impair our ability to compete effectively or to defend ourselves from litigation, which could harm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rely on third-party technologies for the development of our products and our inability to use such technologies in the future would harm our ability to remain competitive;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face claims of intellectual property infringement, misappropriation or other violations, which could be time-consuming or costly to defend or settle, result in the loss of significant rights or harm our relationships with our customers or reputation in the industry;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potential dispute involving patents or other intellectual property could affect our customers, which could trigger our indemnification obligations to them and result in substantial expense to us.</w:t>
      </w:r>
    </w:p>
    <w:p>
      <w:pPr>
        <w:pStyle w:val="TextBody"/>
        <w:bidi w:val="0"/>
        <w:spacing w:lineRule="auto" w:line="288" w:before="240" w:after="283"/>
        <w:ind w:left="0" w:right="0" w:firstLine="360"/>
        <w:jc w:val="left"/>
        <w:rPr>
          <w:rFonts w:ascii="Times New Roman;serif" w:hAnsi="Times New Roman;serif"/>
          <w:b/>
          <w:color w:val="231F20"/>
          <w:sz w:val="20"/>
        </w:rPr>
      </w:pPr>
      <w:r>
        <w:rPr>
          <w:rFonts w:ascii="Times New Roman;serif" w:hAnsi="Times New Roman;serif"/>
          <w:b/>
          <w:color w:val="231F20"/>
          <w:sz w:val="20"/>
        </w:rPr>
        <w:t>Risks Related to the Ownership of Our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executive officers, directors, and stockholders, if they choose to act together, have the ability to control or significantly influence all matters submitted to shareholders for approval.</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Risks Related to Our Business</w:t>
      </w:r>
    </w:p>
    <w:p>
      <w:pPr>
        <w:pStyle w:val="TextBody"/>
        <w:bidi w:val="0"/>
        <w:spacing w:lineRule="auto" w:line="288" w:before="240" w:after="283"/>
        <w:ind w:left="0" w:right="0" w:firstLine="450"/>
        <w:jc w:val="both"/>
        <w:rPr>
          <w:rFonts w:ascii="Times New Roman;serif" w:hAnsi="Times New Roman;serif"/>
          <w:b/>
          <w:i/>
          <w:color w:val="231F20"/>
          <w:sz w:val="20"/>
        </w:rPr>
      </w:pPr>
      <w:r>
        <w:rPr>
          <w:rFonts w:ascii="Times New Roman;serif" w:hAnsi="Times New Roman;serif"/>
          <w:b/>
          <w:i/>
          <w:color w:val="231F20"/>
          <w:sz w:val="20"/>
        </w:rPr>
        <w:t>We may not sustain our growth rate, and we may not be able to manage future growth effectively.</w:t>
      </w:r>
    </w:p>
    <w:p>
      <w:pPr>
        <w:pStyle w:val="TextBody"/>
        <w:bidi w:val="0"/>
        <w:spacing w:lineRule="auto" w:line="288" w:before="120" w:after="283"/>
        <w:ind w:left="0" w:right="0" w:firstLine="450"/>
        <w:jc w:val="both"/>
        <w:rPr/>
      </w:pPr>
      <w:r>
        <w:rPr>
          <w:rFonts w:ascii="Times New Roman;serif" w:hAnsi="Times New Roman;serif"/>
          <w:b w:val="false"/>
          <w:color w:val="231F20"/>
          <w:sz w:val="20"/>
        </w:rPr>
        <w:t>We have experienced significant growth in a short period of time. Our revenue increased from $115.8 million for the year ended December 31, 2023 to</w:t>
      </w:r>
      <w:r>
        <w:rPr>
          <w:color w:val="000000"/>
        </w:rPr>
        <w:t xml:space="preserve"> </w:t>
      </w:r>
      <w:r>
        <w:rPr>
          <w:rFonts w:ascii="Times New Roman;serif" w:hAnsi="Times New Roman;serif"/>
          <w:b w:val="false"/>
          <w:color w:val="000000"/>
          <w:sz w:val="20"/>
        </w:rPr>
        <w:t>$396.3 million for the year ended December 31, 2024 to $852.5 million for the year ended December 31, 2025</w:t>
      </w:r>
      <w:r>
        <w:rPr>
          <w:rFonts w:ascii="Times New Roman;serif" w:hAnsi="Times New Roman;serif"/>
          <w:b w:val="false"/>
          <w:color w:val="231F20"/>
          <w:sz w:val="20"/>
        </w:rPr>
        <w:t>. We may not achieve similar growth rates in future periods. You should not rely on our operating results for any prior quarterly or annual periods as an indication of our future operating performance. If we are unable to maintain adequate revenue growth, our financial results could suffer, and our stock price could decline.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To manage our growth successfully and handle the responsibilities of being a public company, we believe we must effectively,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 xml:space="preserve">recruit, hire, onboard / integrate, train, and manage additional qualified personnel for our research and development activities; </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continue to make significant investments in our new and existing products;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add additional sales personnel; and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continue implementing and improving our administrative, financial and operational systems, procedures, and controls.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If we are unable to manage our growth effectively, we may not be able to take advantage of market opportunities or develop new products, and we may fail to satisfy customer requirements, maintain product quality, execute our business plan, or respond to competitive pressures.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have a limited history of generating net income, and if we are unable to achieve adequate revenue growth while our expenses increase, we may not maintain profitability in the future.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have a limited history of generating net income. We recorded net income of $219.1 million and incurred net losses of $83.4 million and $26.3 million for the years ended December 31, 2025, 2024 and 2023, respectively. As of December 31, 2025, 2024 and 2023, we had retained earnings of $10.3 million and accumulated deficits of $208.8 million and $125.4 million, respectively. Our historical losses and accumulated deficits were a result of the substantial investments we have made to grow our business. We expect our costs will continue to increase over time and our losses may continue if such increases in costs are not more than fully offset by increases in our revenue. We expect to continue to invest significant additional funds in expanding our business and research and development activities as we continue to develop new products. We have experienced and expect to continue to incur additional general and administrative expenses as a result of our growth and increased costs to support our operations as a public company. Historically, our costs have increased over the years due to these factors, and we expect to continue to incur increasing costs to support our anticipated future growth.</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If our revenue or revenue growth rate declines or our operating expenses exceed our expectations, our financial performance will be adversely affected. We will need to generate and sustain increased revenue levels in future periods in order to maintain profitability. If we cannot successfully grow our revenue at a rate that exceeds the costs associated with our business, we will not be able to maintain profitability, and the trading price of our common stock could decline.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have rapidly grown as a business in dynamic and rapidly evolving markets, and we may have difficulty accurately predicting our future revenue for the purpose of appropriately budgeting and adjusting our expenses.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have a rapidly growing business, a dynamic and rapidly evolving market in which we sell our products, our dependence on a limited number of customers, as well as numerous other factors beyond our control, could impede our ability to forecast quarterly and annual revenue accurately. As a result, we could experience budgeting and cash flow management problems, unexpected fluctuations in our results of operations and other challenges, any of which could make it difficult for us to maintain profitability and could increase the volatility of the market price of our common stock.</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be unsuccessful in anticipating and responding to new market trends and evolving industry standards, developing and selling new products, or penetrating new markets.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operate in an industry characterized by rapidly changing technologies and evolving industry standards. We believe that our future success depends on our ability to develop and introduce new technologies and products that generate new sources of revenue to replace, or build upon, existing product revenue streams. If we are not able to repeatedly introduce, in successive years, new products or new generations of existing products that ship in volume and meet customer demands, our revenue will likely not grow and may decline significantly and rapidly.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To compete successfully, we must design, develop, market, and sell new products or new generations of existing products that provide increasingly higher levels of performance while meeting evolving industry standards, and the cost and quality expectations, of our customers. The introduction of new products by our competitors, the delay or cancellation of a system for which any of our products are designed in, the market acceptance of products based on new or alternative technologies, or the emergence of new industry standards could render our existing or future products uncompetitive, obsolete, or otherwise unmarketable.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Our failure to anticipate or timely develop new products or new generations of existing products in response to technological shifts or evolving industry standards could result in decreased revenue and our competitors securing a competitive advantage. In particular, we may experience difficulties with product design, manufacturing, assembly, test, and qualification or marketing that could delay or prevent our development, introduction, or marketing of new or enhanced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products. Although we believe our products comply with applicable industry standards, our existing and new products may not fully conform under all circumstances, and we are unable to guarantee that proprietary enhancements in the future will fully conform with applicable industry standards under all circumstances as industry standards evolve and change.</w:t>
      </w:r>
    </w:p>
    <w:p>
      <w:pPr>
        <w:pStyle w:val="TextBody"/>
        <w:bidi w:val="0"/>
        <w:spacing w:lineRule="auto" w:line="288" w:before="120" w:after="283"/>
        <w:ind w:left="0" w:right="0" w:firstLine="450"/>
        <w:jc w:val="both"/>
        <w:rPr/>
      </w:pPr>
      <w:r>
        <w:rPr>
          <w:rFonts w:ascii="Times New Roman;serif" w:hAnsi="Times New Roman;serif"/>
          <w:b w:val="false"/>
          <w:color w:val="231F20"/>
          <w:sz w:val="20"/>
        </w:rPr>
        <w:t>Products for our target markets are based on industry standards that are continually evolving, and industry standards are often developed and promoted by larger companies who are industry leaders and provide other components of the systems into which our products are incorporated. In choosing products to develop, we also make certain assumptions about which industry standards we believe will be adopted by industry leaders. For example, CXL connectivity solutions and UALink</w:t>
      </w:r>
      <w:r>
        <w:rPr>
          <w:rFonts w:ascii="Times New Roman;serif" w:hAnsi="Times New Roman;serif"/>
          <w:b w:val="false"/>
          <w:color w:val="231F20"/>
          <w:sz w:val="13"/>
        </w:rPr>
        <w:t>TM</w:t>
      </w:r>
      <w:r>
        <w:rPr>
          <w:color w:val="231F20"/>
        </w:rPr>
        <w:t xml:space="preserve"> </w:t>
      </w:r>
      <w:r>
        <w:rPr>
          <w:rFonts w:ascii="Times New Roman;serif" w:hAnsi="Times New Roman;serif"/>
          <w:b w:val="false"/>
          <w:color w:val="231F20"/>
          <w:sz w:val="20"/>
        </w:rPr>
        <w:t>are in the early stages of market adoption. If our assumptions are incorrect, and larger companies do not support the same industry standards that we do, or if competing standards emerge, it could be difficult for our products to meet the requirements of certain customers. As a result, if we fail to introduce new products or new generations of our existing products that meet prevailing industry standards and the needs of our customers, or penetrate new markets in a timely fashion, and our designs do not gain acceptance, we will likely lose market share and our competitive position, potentially on an extended basis, and our operating results will be adversely affected.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competitiveness and future success depend on our and our third-party manufacturing partners’ ability, as applicable, to design, develop, manufacture, assemble, and test new products and product enhancements on a timely and cost-effective basis. Our failure to anticipate fundamental shifts in technologies in any of our product markets, to develop new technologies or to react to changes in existing technologies could materially delay our development of new products or new generations of our existing products. For example, we anticipate that our customers will continue to have increasing needs for connectivity and memory products as a result of the increased adoption of the cloud and AI infrastructure, and if we are unable to successfully design and produce products that our customers can incorporate into their cloud and AI systems, we expect that our competitive positioning and financial performance would be harmed as our competitors more effectively help our customers scale into these developing sectors.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We believe the success of new products depends on accurate forecasts of long-term market demand and future technological developments, as well as on a variety of specific implementation factors, including: </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timely and efficient completion of our design and transfer to manufacturing, assembly, and test processes;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the quality, performance, and reliability of our products; and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effective marketing, sales, and service.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If we fail to introduce new products or new generations of existing products that meet the demand of our customers or penetrate new markets that we have targeted, our revenue will likely decrease over time and our financial condition could suffer.</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 substantial portion of our revenue is driven by a limited number of our end customers, and the loss of, or a significant reduction in, demand from one or a few of our top end customers would adversely affect our operations and financial condition.</w:t>
      </w:r>
    </w:p>
    <w:p>
      <w:pPr>
        <w:pStyle w:val="TextBody"/>
        <w:bidi w:val="0"/>
        <w:spacing w:lineRule="auto" w:line="288" w:before="120" w:after="283"/>
        <w:ind w:left="0" w:right="0" w:firstLine="500"/>
        <w:jc w:val="both"/>
        <w:rPr>
          <w:rFonts w:ascii="Times New Roman;serif" w:hAnsi="Times New Roman;serif"/>
          <w:b w:val="false"/>
          <w:color w:val="231F20"/>
          <w:sz w:val="20"/>
        </w:rPr>
      </w:pPr>
      <w:r>
        <w:rPr>
          <w:rFonts w:ascii="Times New Roman;serif" w:hAnsi="Times New Roman;serif"/>
          <w:b w:val="false"/>
          <w:color w:val="231F20"/>
          <w:sz w:val="20"/>
        </w:rPr>
        <w:t>A substantial portion of our revenue is driven by a limited number of end customers. In 2025, one end customer represented more than 70% of our revenue; the top three end customers represented an aggregate of approximately 86% of our revenue. Our distributors and end customers’ manufacturing partners provide us with information in their purchase orders about which end customer will receive the products purchased. This data allows us to estimate the portion of our revenue that is due to specific end customer demand. We anticipate that we will continue to be dependent on a limited number of end customers for a significant portion of our revenue in the future, and in some cases, the portion of our revenue attributable to certain end customers may increase in the future. However, we may not be able to maintain or increase sales to certain of our top end customers for a variety of reasons, including the following:</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our master agreements with our end customers generally do not require them to purchase a minimum quantity of our products and our end customers’ demand for our products may be volatile;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some of our end customers may redesign their systems to use fewer or none of our products with limited notice to us; and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231F20"/>
          <w:sz w:val="20"/>
        </w:rPr>
        <w:t>many of our end customers have pre-existing or concurrent relationships with our current or potential competitors that may affect such end customers’ decisions to purchase our products.</w:t>
      </w:r>
    </w:p>
    <w:p>
      <w:pPr>
        <w:pStyle w:val="TextBody"/>
        <w:bidi w:val="0"/>
        <w:spacing w:lineRule="auto" w:line="288" w:before="120" w:after="283"/>
        <w:ind w:left="0" w:right="0" w:firstLine="500"/>
        <w:jc w:val="both"/>
        <w:rPr>
          <w:rFonts w:ascii="Times New Roman;serif" w:hAnsi="Times New Roman;serif"/>
          <w:b w:val="false"/>
          <w:color w:val="231F20"/>
          <w:sz w:val="20"/>
        </w:rPr>
      </w:pPr>
      <w:r>
        <w:rPr>
          <w:rFonts w:ascii="Times New Roman;serif" w:hAnsi="Times New Roman;serif"/>
          <w:b w:val="false"/>
          <w:color w:val="231F20"/>
          <w:sz w:val="20"/>
        </w:rPr>
        <w:t xml:space="preserve">End customer relationships often require us to develop new products that may involve significant technological and design challenges, and our end customers frequently place considerable pressure on us to meet tight development schedules. Accordingly, we may have to devote a substantial amount of our resources to our strategic relationships, which could detract from or delay our completion of other important development projects. Delays in development could impair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relationships with our end customers and negatively impact forecasted sales of the products under development. Moreover, it is possible that our end customers may develop their own products that may compete with our solutions, or adopt a competitor’s solution for products that they currently buy from us. If that happens, our sales would be adversely impacted and our business, financial condition, and results of operations would be materially and adversely affected.</w:t>
      </w:r>
    </w:p>
    <w:p>
      <w:pPr>
        <w:pStyle w:val="TextBody"/>
        <w:bidi w:val="0"/>
        <w:spacing w:lineRule="auto" w:line="288" w:before="120" w:after="283"/>
        <w:ind w:left="0" w:right="0" w:firstLine="500"/>
        <w:jc w:val="both"/>
        <w:rPr>
          <w:rFonts w:ascii="Times New Roman;serif" w:hAnsi="Times New Roman;serif"/>
          <w:b w:val="false"/>
          <w:color w:val="231F20"/>
          <w:sz w:val="20"/>
        </w:rPr>
      </w:pPr>
      <w:r>
        <w:rPr>
          <w:rFonts w:ascii="Times New Roman;serif" w:hAnsi="Times New Roman;serif"/>
          <w:b w:val="false"/>
          <w:color w:val="231F20"/>
          <w:sz w:val="20"/>
        </w:rPr>
        <w:t>In addition, to attract new customers or retain existing end customers, we may offer (in some cases through distributors) certain customers favorable prices for our products. In that event, our revenue and gross margins may decline. The loss of a top end customer, a reduction in sales to any top end customer, or our inability to attract new end customers could impact our revenue and materially and adversely affect our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we fail to achieve design wins for our products, we may lose the opportunity for sales to customers for a significant period of time and be unable to recoup our investments in our products.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business is dependent on design wins. Design wins occur once a customer has validated and placed an order for our product(s). We often incur significant expenditures in the development of a new product or new generation of an existing product without any assurance that our customers will select our product for use in their systems. Additionally, we are often required to anticipate which product designs will generate demand in advance of our customers expressly indicating a need for that particular design. Even if our customers select our products, a substantial period of time will elapse before we generate revenue related to the significant expenses we have incurred. The reasons for this delay generally include the following elements of our product sales and development cycle timeline and related influences:</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our customers usually require a comprehensive technical evaluation of our products before they incorporate them into their designs;</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it can take up to two years from the time a design win is secured to commencement of volume commercial shipments (assuming no changes in market conditions or customer development schedules); and</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our customers may be impacted by changing market conditions, product development issues of their own, or choose to delay their system designs.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resources devoted to product development and sales and marketing may not generate material revenue for us, and we have needed in the past, and may need in the future, to write off excess and obsolete inventory if we have produced a product in excess of forecasted demand that does not materialize. If we incur significant expenses and investments in inventory in the future that we are not able to recover, and we are not able to compensate for those expenses, our operating results could be adversely affected.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 design win does not guarantee sales to a customer. A delay or cancellation of a customer’s plans could materially and adversely affect our financial results, as we incur significant expense in the design process and may generate little or no revenue from it. In addition, the timing of design wins is unpredictable and supporting production for a major design win, or multiple design wins at the same time, may strain our resources. In such event, we may be forced to dedicate significant additional resources and incur additional costs and expenses. Customers could also choose at any time to stop using our products, or could fail to successfully market and sell their products, either of which could reduce demand for our products.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Once a customer designs a product into its systems, the same product or enhanced versions of that product from the same supplier is likely to be used across a number of similar and successor products. This can be for a lengthy period of time due to the significant costs associated with qualifying a new supplier and potentially redesigning the product to incorporate a different solution. If a customer initially chooses a competitor’s product, it becomes more difficult for us to sell our products for use in that system because changing suppliers can involve significant cost, time, effort, and risk for our customers, and additional design opportunities may be infrequent or delayed. Thus, our failure to obtain a design win can result in our foregoing revenue from a given customer’s system for the life of that system. Our ability to compete in the future will depend, in large part, on our ability to develop products that comply with our customers’ and potential customers’ system specifications. However, even if our customers use our products in their systems, these customers may not deploy their systems in volume and we may not receive significant revenue from the sales of our products for those systems. As a result, we may be unable to accurately forecast the volume and timing of our orders and revenue associated with any new product introductions.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experience difficulties demonstrating to customers the value of our new products or newer generations of our existing products.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As we develop and introduce new products or new generations of our existing products, we face the risk that our new products do not meet the needs of our customers’ next generation systems and applications or that our customers may forego adopting one or more newer generations of our existing products. Regardless of the improved features or superior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performance of the newer generations of our existing products, customers may be unwilling to adopt our new products due to design or pricing constraints, among other reasons. Even if customers choose to adopt our new products or new generations of our existing products, they may be slow to do so, which may result in certain of our products selling more frequently than other products for sustained periods of time. For example, most of our historical sales have been for our Aries Smart DSP Retimer product family. Because of the extensive time and resources that we invest in researching and developing new products and new generations of our existing products, if we are unable to sell new products or new generations of our existing products, our revenue could decline and our business, financial condition, and results of operations would be negatively affected.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The adoption, use, and commercialization of AI technology, and the continued rapid pace of developments in the AI field, are inherently uncertain. Failure by our customers to continue to adopt or invest in AI infrastructure to support AI use cases in their systems, or our ability to keep up with evolving AI infrastructure requirements, could have a material adverse effect on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As part of our growth strategy, we seek to attract and acquire customers focused on AI. We foresee emerging demand from companies that are dedicated to providing infrastructure for AI use cases, AI-dedicated data centers, and larger enterprises, as they begin to build systems to meet their unique requirements. However, AI has been developing at a rapid pace, and continues to evolve and change. If we are unable to keep up with the changing AI landscape or in developing products to meet our customers’ evolving AI needs, or if the AI landscape does not develop to the extent we or our customers expect, our business, and financial results may be adversely impacted.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Additionally, our efforts in developing new AI infrastructure technology solutions are inherently risky and may not always succeed. We may incur significant costs and expect significant delays in developing new products or new generations of existing products to adapt to the changing AI landscape, and may not achieve a return on investment or capitalize on the opportunities presented by demand for AI solutions. Moreover, while AI-adoption is likely to continue and may accelerate, the long-term trajectory of this technological trend is uncertain.</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Additionally, we expect to see increasing government and supranational legislation and regulation related to AI use and ethics, which may also significantly increase the burden and cost of research, development, and compliance in this area. For example, the EU’s Artificial Intelligence Act (“EU AI Act”), entered into force in August 2024 and, with some exceptions, becomes effective 24 months thereafter. As enacted, the EU AI Act imposes significant obligations on providers and deployers of high risk AI systems and general purpose AI models and encourages providers and deployers to account for EU ethical principles when developing and using AI technology. The scope of requirements depends on judicial interpretations and forthcoming legislative amendments, and non-compliance can lead to significant fines. If we develop or use AI systems that are governed by the EU AI Act, it may necessitate ensuring higher standards of data quality, transparency, and human oversight, as well as adhering to specific and potentially burdensome and costly ethical, accountability, and administrative requirements. In addition, we may become subject to similar or additional legislation or requirements in the United States or other jurisdictions, as well as evolving regulatory guidance and enforcement under existing laws.</w:t>
      </w:r>
    </w:p>
    <w:p>
      <w:pPr>
        <w:pStyle w:val="TextBody"/>
        <w:bidi w:val="0"/>
        <w:spacing w:lineRule="auto" w:line="268" w:before="120" w:after="283"/>
        <w:ind w:left="0" w:right="0" w:firstLine="450"/>
        <w:jc w:val="both"/>
        <w:rPr/>
      </w:pPr>
      <w:r>
        <w:rPr>
          <w:rFonts w:ascii="Times New Roman;serif" w:hAnsi="Times New Roman;serif"/>
          <w:b w:val="false"/>
          <w:color w:val="000000"/>
          <w:sz w:val="20"/>
        </w:rPr>
        <w:t xml:space="preserve">The AI regulatory environment is increasingly complex and uncertain. For example, in the United States, states have advanced, and in some cases passed, laws focusing on AI, while the federal government has pursued a deregulatory agenda. </w:t>
      </w:r>
      <w:r>
        <w:rPr>
          <w:rFonts w:ascii="Times New Roman;serif" w:hAnsi="Times New Roman;serif"/>
          <w:b w:val="false"/>
          <w:color w:val="231F20"/>
          <w:sz w:val="20"/>
        </w:rPr>
        <w:t>Significant resources will be required to design, develop, test and maintain our products to help ensure that AI is implemented and deployed in accordance with applicable law and regulation and in a manner intended to comply with applicable laws and regulations and mitigate foreseeable risks. Our customers may also become subject to such existing or upcoming AI laws and regulations, which could cause a delay or impediment to the commercialization of AI technology and could lead to a decrease in demand for our customers’ AI systems, and may adversely affect our business, financial condition, and results of operations. In addition, uncertainty regarding the direction of AI regulation may affect customers’ adoption of AI, which could adversely affect our business.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rely on a limited number of third-party manufacturing partners for our manufacturing and supply chain services, and the failure to manage our relationships successfully with our third-party manufacturing partners in order to obtain adequate services and supplies could adversely affect our ability to market and sell our products and our reputation.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operate an outsourced manufacturing business model. We currently partner with TSMC to manufacture our integrated circuits. TSMC is our sole manufacturing partner for our integrated circuits and we currently have not qualified another source. We also use Advanced Semiconductor Engineering and Amkor Technologies to assemble, package, and test our integrated circuits. We also rely on a small, limited number of other manufacturing partners for our modules, boards, and integrated circuit substrates. Relying on third-party manufacturing partners presents significant risks, including:</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failure by us, our customers, or their customers to qualify a selected supplier;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capacity shortages during periods of high demand;</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reduced control over delivery schedules and quality;</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shortages of materials;</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third parties infringing, misappropriating, or otherwise violating our intellectual property rights;</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impairment of the operation of our products if errors or other defects occur in the third-party technologies we use, and difficulties correcting such errors or defects because the development and maintenance of those technologies is not within our control;</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limited warranties on products supplied to us; and</w:t>
      </w:r>
    </w:p>
    <w:p>
      <w:pPr>
        <w:pStyle w:val="TextBody"/>
        <w:bidi w:val="0"/>
        <w:spacing w:lineRule="auto" w:line="288" w:before="120" w:after="283"/>
        <w:ind w:left="0" w:right="0" w:hanging="450"/>
        <w:jc w:val="both"/>
        <w:rPr/>
      </w:pPr>
      <w:r>
        <w:rPr>
          <w:color w:val="231F20"/>
        </w:rPr>
        <w:t>•</w:t>
      </w:r>
      <w:r>
        <w:rPr>
          <w:rFonts w:ascii="Times New Roman;serif" w:hAnsi="Times New Roman;serif"/>
          <w:b w:val="false"/>
          <w:color w:val="231F20"/>
          <w:sz w:val="20"/>
        </w:rPr>
        <w:t>potential increases in prices or reduced yields.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ability and willingness of our third-party manufacturing partners to perform is largely outside of our control. We have experienced and may continue to experience the failure of one or more of our third-party manufacturing partners or other outsourcers to perform its obligations in a timely manner or at satisfactory quality levels, which can negatively impact our ability to bring products to market and our reputation. In particular, if TSMC is unable to supply us with sufficient quantities of wafers to meet all of our requirements, we could have difficulties fulfilling our customer orders and our revenue could decline. In addition, if our third-party manufacturing partners fail to deliver quality services, products, and components on time and at reasonable prices, we could have difficulties fulfilling our customer orders, which would materially and adversely affect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third-party manufacturing partners and distributors, and the majority of our revenue, are concentrated primarily in Singapore, China, Taiwan, South Korea, and other countries, areas that are or may be subject to geopolitical uncertainty, trade disputes and restrictions, environmental disasters, and other risks. Any disruption to the operations of these manufacturing partners or distributors could cause significant delays in the production or shipment of our products and impact our financial condition.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success depends in part on the uninterrupted and reliable operation of our business, including the operation of our day-to-day business operations, or manufacturing, assembly, and testing done by our third-party manufacturing partners and other vendors. Unforeseen disruption of the production or distribution of our products could be caused by a number of events, including a maintenance outage, systems outage or other disruption, power or equipment failure, fires, floods, earthquakes or other natural disasters, social unrest or terrorist activity, work stoppages, public health concerns (including pandemics), regulatory measures, or other operational problems. For example, the foundry used by our primary manufacturer, TSMC, as well as our primary distributor, is located in Taiwan. The risk of an earthquake in Taiwan and elsewhere in the Pacific Rim region on our business is significant due to the proximity of major earthquake fault lines to the foundry’s facilities. Any disruption resulting from such events could cause significant delays in the production or shipment of our products until we are able to shift our manufacturing from the affected location to another location. We may not be able to obtain alternate capacity on favorable terms, if at all.</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addition, our dependence on our relationship with our third-party manufacturing partners or distributors may be affected by changes in governmental policies, taxation, rising inflation or interest rates, social instability, geopolitical conflicts and tensions, and diplomatic and social developments, which are outside of our control. The occurrence of such events may have an adverse impact because the majority of our revenue derives from sales into East Asia. For example, since 1949, Taiwan and mainland China have been separately governed. Although significant economic and cultural relations have been established between Taiwan and mainland China in the past few years, past developments in relations between Taiwan and mainland China have on occasion depressed the market prices of the securities of companies doing business in Taiwan, and may depress the price of our common stock. Additionally, trade tensions between the United States and China may lead to restrictions on our ability to use our third-party manufacturing partners or distributors located in China may impose restrictions such that our use of such manufacturing partners or distributors may no longer be practical or on terms favorable to us. Further, continued or heightened tension between South Korea and North Korea, an outbreak in military hostilities, or other actions or occurrences could cause significant delays in the production or shipment of our products until we are able to shift our manufacturing, assembling, testing, or distribution from the affected contractor to another third-party.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Furthermore, our industry generally relies on a limited number of manufacturers whose operations tend to be concentrated in Taiwan and other parts of East Asia, which makes us especially susceptible to adverse developments in these regions’ economic and political conditions, particularly to the extent that such developments create an unfavorable business environment that significantly affects our and our customers’ operations. Although the governments of certain countries, including the United States, have taken actions to make their countries more attractive for chip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operations, there can be no assurances that the current geographic concentration of chip manufacturing will be meaningfully changed in the near term or at all.</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If any of these events, or other macroeconomic trends, should cause a prolonged disruption of operations that impact our third-party manufacturing partners, we may see operational downtimes or operation at reduced capacities, preventing us from completing our operations or production in a timely manner, leading to loss of business volume and reduced productivity or profitability, which could have a material adverse effect on our business, financial conditions, and results of operations. Given the concentration of chip manufacturing in Taiwan and other parts of East Asia, as well as the other risks described herein, we may not be able to obtain alternate service or materials quickly and on favorable terms, if at all. Any unplanned production downtime or other operational problems and delays, if significant, could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customers require our products and our third-party manufacturing partners to undergo a lengthy and expensive qualification process, which does not assure volume product sales. If we are unsuccessful or delayed in qualifying any of our products with a customer, our business and operating results would suffer.</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Prior to purchasing our products and deploying them in volume in their systems, our customers require that our products and our third-party manufacturing partners undergo extensive qualification processes, which involve testing of our products in our customers’ systems, as well as testing for reliability. This qualification process may continue for several months or more. Moreover, qualification of a product by a customer does not assure any sales of the product to that customer. Further, even after successful qualification and sales of a product to a customer, a subsequent revision in our third-party contractors’ manufacturing process or our selection of a new supplier may require a new qualification process by our customers, which may result in delays and in our holding excess or obsolete inventory. After our products are qualified, it can take several months or more before the customer commences volume deployment of our products in their systems. Despite these uncertainties, we devote substantial resources, including design, engineering, sales, marketing, technical support, and management efforts, to qualify our products with customers in anticipation of sales. If we are unsuccessful or delayed in qualifying any of our products with a customer, sales of those products to the customer may be precluded or delayed, which may impede our growth and materially and adversely affect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make substantial investments in research and development, and unsuccessful investments could materially adversely affect our business, financial condition, and results of operations.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The industry in which we compete is characterized by rapid technological change, changes in customer requirements, frequent new product introductions and enhancements, short product cycles and evolving industry standards, and new delivery methods. In addition, the fabrication of semiconductor products has transitioned over time to increasingly smaller line width geometries, and failure to successfully transition to product designs utilizing smaller geometry process nodes could impair our competitive position. In order to remain competitive, we have made, and expect to continue to make, significant investments in research and development and often well ahead of the anticipated product revenue. For the years ended December 31, 2025 and 2024, research and developments expenses were </w:t>
      </w:r>
      <w:r>
        <w:rPr>
          <w:rFonts w:ascii="Times New Roman;serif" w:hAnsi="Times New Roman;serif"/>
          <w:b w:val="false"/>
          <w:color w:val="000000"/>
          <w:sz w:val="20"/>
        </w:rPr>
        <w:t>$304.0 million and</w:t>
      </w:r>
      <w:r>
        <w:rPr>
          <w:color w:val="231F20"/>
        </w:rPr>
        <w:t xml:space="preserve"> </w:t>
      </w:r>
      <w:r>
        <w:rPr>
          <w:rFonts w:ascii="Times New Roman;serif" w:hAnsi="Times New Roman;serif"/>
          <w:b w:val="false"/>
          <w:color w:val="000000"/>
          <w:sz w:val="20"/>
        </w:rPr>
        <w:t xml:space="preserve">$200.8 million, </w:t>
      </w:r>
      <w:r>
        <w:rPr>
          <w:rFonts w:ascii="Times New Roman;serif" w:hAnsi="Times New Roman;serif"/>
          <w:b w:val="false"/>
          <w:color w:val="231F20"/>
          <w:sz w:val="20"/>
        </w:rPr>
        <w:t>respectively. If we fail to develop new and enhanced products and technologies, if we focus on technologies that do not become widely adopted, or if new competitive technologies or industry standards that we do not support become widely accepted, demand for our products may be reduced. Increased investments in research and development or unsuccessful research and development efforts could cause our cost structure to fall out of alignment with demand for our products, which would have a negative impact on our financial results.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future success will depend in large part on our ability to successfully execute our strategy.</w:t>
      </w:r>
    </w:p>
    <w:p>
      <w:pPr>
        <w:pStyle w:val="TextBody"/>
        <w:bidi w:val="0"/>
        <w:spacing w:lineRule="auto" w:line="288" w:before="120" w:after="283"/>
        <w:ind w:left="0" w:right="0" w:firstLine="450"/>
        <w:jc w:val="both"/>
        <w:rPr/>
      </w:pPr>
      <w:r>
        <w:rPr>
          <w:rFonts w:ascii="Times New Roman;serif" w:hAnsi="Times New Roman;serif"/>
          <w:b w:val="false"/>
          <w:color w:val="231F20"/>
          <w:sz w:val="20"/>
        </w:rPr>
        <w:t>Our business strategy is to maximize our return on investment by aligning with our customers to address high-value problem sets. We are still in the process of implementing our strategy to align with this select customer group, and we cannot be certain that this strategy will succeed. To succeed, we will need to significantly increase sales to our existing customers in the cloud and AI markets, continue to develop and pursue adoption of our PCIe, Ethernet, CXL and UALink</w:t>
      </w:r>
      <w:r>
        <w:rPr>
          <w:rFonts w:ascii="Times New Roman;serif" w:hAnsi="Times New Roman;serif"/>
          <w:b w:val="false"/>
          <w:color w:val="231F20"/>
          <w:sz w:val="13"/>
        </w:rPr>
        <w:t>TM</w:t>
      </w:r>
      <w:r>
        <w:rPr>
          <w:color w:val="231F20"/>
        </w:rPr>
        <w:t xml:space="preserve"> </w:t>
      </w:r>
      <w:r>
        <w:rPr>
          <w:rFonts w:ascii="Times New Roman;serif" w:hAnsi="Times New Roman;serif"/>
          <w:b w:val="false"/>
          <w:color w:val="231F20"/>
          <w:sz w:val="20"/>
        </w:rPr>
        <w:t>connectivity solutions, increase our value-per-product and leverage our differentiated product families to grow with our customers into new data intensive end-markets, including developing, introducing, and marketing new products and technologies on a timely basis.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gross margins may decline due to a variety of factors, which could negatively impact our results of operations and our financial condition.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Our gross margins may decline due to a number of factors, including customer and product mix, revenue mix between various offerings, market acceptance of our new products, yield, pricing, packaging and testing costs,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pricing dynamics, and geographic and market pricing strategies. Increases in gross margins over certain periods may be a result of individual changes in customer need or market shifts, and may not be indicative of future results.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To attract new customers or retain existing customers, we have in the past and will in the future offer certain customers favorable prices, which would decrease the prices that we receive for our products and likely impact our gross margins. Further, we may also offer pricing incentives to our customers on earlier generations of products that inherently have a higher cost structure, which would negatively affect our gross margins. In addition, in the event our customers, including our larger customers, exert more pressure with respect to pricing and other terms with us, it could put downward pressure on our margins.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In addition, we maintain an inventory of our products at various stages of production and in finished goods inventory. We hold these inventories in anticipation of customer orders. If those customer orders do not materialize in a timely manner, we may have excess or obsolete inventory, which we would have to reserve or write-down, and our gross margins would be adversely affected. In addition, for customers that we issue warrants, we recognize the related grant date fair value of the warrants as a reduction of revenue for each sales transaction in proportion to total expected cumulative sales volume resulting in achievement of the vesting conditions, which reduces the reported gross profit and gross margin in the periods the related revenue is recognized. The timing and magnitude of these charges may vary and could cause fluctuations in our reported gross margins and results of operations. </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Pricing for the current generation of our existing products often decreases over time, which could negatively impact our revenue and gross margins.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operating results may be impacted by a decline in the pricing for the current generation of our existing products. If competition increases in our target markets, we may need to reduce the prices of our existing products in anticipation of competitive pricing pressures, new product introductions by us or our competitors, new generations of such existing products, or for other reasons. If we are unable to offset any reductions in pricing for existing products by increasing our sales volumes or introducing new products or new product generations of such existing products with higher margins, our revenue and gross margins will suffer. To maintain our revenue and gross margins, we must develop and introduce new products, next-generation products, and product enhancements on a timely basis and continually reduce our costs as well as our customers’ costs. Failure to do so may cause our revenue and gross margins to decline.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Fluctuations in the mix of products sold may materially adversely affect our gross margins and financial results.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Price and cost differences among our products and the mix and types of products sold, including from a features and form factor perspective, may affect the pricing of our products and have a substantial impact on our revenue. Fluctuations in the mix and types of our products may also affect the extent to which we are able to recover our fixed costs and investments that are associated with a particular product, and as a result may negatively and materially impact our financial results.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pursue acquisitions, investments, joint ventures, and dispositions, which could adversely affect our results of operations, and any acquisitions we do make could disrupt our business and harm our financial condition.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growth strategy includes acquiring businesses and/or assets that offer complementary products, services, and technologies, enhance our market coverage or technological capabilities or enable us to increase the number of engineering employees.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have in the past, and may in the future choose to acquire or make investments in companies, businesses and/or assets that are complementary to our business, including for the purpose of expanding our new product design capacity, introducing new design, market, or application skills, enhancing, and expanding our existing product lines or grow the number of engineers. We cannot forecast the number, timing or size of future investments or acquisitions, or the effect that any such investments or acquisitions might have on our operating or financial results.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Any investments, joint ventures or acquisitions we may undertake and their integration involve risks and uncertainties, such as: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unexpected delays, challenges and related expenses, and disruption of our business;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diversion of management’s attention from daily operations and the pursuit of other opportunities;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 xml:space="preserve">incurring significant restructuring charges and amortization expense, assuming liabilities (some of which may be unexpected) and ongoing or new lawsuits, potential impairment of acquired goodwill, acquired in-process research and development charges and other intangible assets, amortization expense, and increasing our expenses and working capital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the potential for deficiencies in internal controls at the acquired business, or other security vulnerabilities or issues, as well as implementing our own management information systems, operating systems, and internal controls for the acquired operations;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our due diligence process may fail to identify significant issues with the acquired business’ products, financial disclosures, accounting practices, legal, tax, and other contingencies, intellectual property rights, compliance with local laws and regulations (and interpretations thereof) in the United States, and multiple international jurisdictions;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additional acquisition-related debt and contingent liabilities, which could increase our leverage and potentially negatively affect our credit ratings resulting in more restrictive borrowing terms or increased borrowing costs thereby limiting our ability to borrow;</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the use of a significant portion of our available cash;</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dilution of stock ownership of existing stockholders;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difficulties integrating the acquired assets, business or company and in managing and retaining acquired employees, third-party manufacturing partners, and customers; and</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inaccuracies in our original estimates and assumptions used to assess a transaction, which may result in us not realizing the expected financial or strategic benefits of any such transaction.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addition, current and future changes to the U.S. and foreign regulatory approval process and requirements related to investments or acquisitions may cause approvals to take longer than anticipated, not be forthcoming or contain burdensome conditions, which may prevent the transaction or jeopardize, delay or reduce the anticipated benefits of the transaction, and impede the execution of our business strategy.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From time to time, we may also seek to divest or wind down assets or portions of our business, either acquired or otherwise, any of which could materially affect our cash flows and results of operations. Such dispositions involve risks and uncertainties, including our ability to sell such assets or businesses on terms acceptable to us, or at all, disruption to other parts of our business, potential loss of employees or customers, or exposure to unanticipated liabilities or ongoing obligations to us following any such dispositions. In addition, dispositions may include the transfer of technology and/or the licensing of certain intellectual property rights to third parties, which could limit our ability to utilize such intellectual property rights or assert these rights against such third parties.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we are unable to accurately predict end customer demand, or if our distributors or end customers’ manufacturing partners cancel or change their orders, we may hold excess or obsolete inventory, which would reduce our gross margins and may damage our relationships with our customers.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revenue and operating results could fluctuate materially and could be materially and disproportionately impacted by the purchasing decisions of our end customers. Due to the inability to predict demand or other reasons, some of our distributors and end customers’ manufacturing partners may accumulate excess inventories and, as a consequence, defer purchases of our products. For example, in the first quarter of 2023 we had a $9.7 million charge to write down inventory in excess of our sales forecast for a legacy customer system. Anticipating demand is difficult because our end customers face unpredictable demand for their own products and/or deployment of their own systems. If we overestimate end customer demand, or end customer demand is otherwise impacted by other factors impacting our assumptions, we might produce significant excess inventory and consequently inventory write-off, which would reduce our gross margin and adversely affect our financial results. Conversely, if we underestimate customer demand or if insufficient manufacturing capacity is available, we may miss revenue opportunities, potentially lose market share and damage our customer relationships. In addition, as an increasing number of our products are being incorporated into end customer systems, we anticipate greater fluctuations in demand for our products, which makes it more difficult to forecast end customer demand.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generally do not maintain long-term supply contracts with our third-party manufacturing partners, and any disruption in our supply of products could have a material adverse effect on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We generally do not have long-term contracts with our third-party manufacturing partners that require them to supply manufacturing capacity, materials, or services, and substantially all of our purchases are on a purchase order basis. We place orders with our third-party manufacturing partners for manufacturing, assembling, and testing our products and purchasing components that are integrated into our products according to our estimates of customer demand many months prior to the anticipated delivery date to our customer. This process requires us to make multiple demand forecast assumptions with respect to our customers’ demands in advance of actual purchase orders, each of which may introduce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error into our estimates. In addition, while many of our customers are subject to purchase orders or other agreements that do not allow for cancellation without penalty within a certain number of days before the estimated ship date, there can be no assurance that these customers will honor these contract terms, and any cancellation of these orders may adversely affect our business operations and demand forecast, which is the basis for us to have products made.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third-party manufacturing partners may also extend lead times, limit supplies, place products on allocation, or increase prices that could lead to interruption of supply or increased demand in the industry. For example, the supply of these materials may be negatively impacted by increased trade tensions between the United States and its trading partners, particularly the People’s Republic of China. Moreover, TSMC has increased and may increase in the future the wafer prices we pay. Our products are incorporated into complex devices and systems, which creates supply chain cross-dependencies. Due to these cross dependencies, any supply chain disruptions could impact the demand for our products in the short term. In the event that we cannot obtain sufficient quantities of materials in a timely manner or at reasonable prices from third-party manufacturing partners, the quality of the material deteriorates or we are not able to pass on higher manufacturing costs to our customers, our business, financial condition, and results of operations could be adversely impacted.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rely on our relationships with leaders in the data center and AI infrastructure ecosystem to test and validate our products at a system level and our inability to continue to develop or maintain such relationships in the future would harm our ability to remain competitive.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develop many of our products for systems that interoperate with other products sold by leaders in the data center and AI infrastructure ecosystem. We work closely with these industry and technology partners to test and validate our products at a system level. We believe these relationships enhance our ability to achieve market acceptance and widespread adoption of our products. If we are unable to continue to develop or maintain these relationships, or if our products test negatively with these leaders in the data center and AI infrastructure ecosystem, our products may become less desirable to our customers, which would cause our sales to suffer and our competitive position to be harmed.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The complexity of our products could result in unforeseen delays or expense or undetected defects, bugs, or security vulnerabilities, which could adversely affect the market acceptance of new products, damage our reputation with current or prospective customers, and materially and adversely affect our operating costs.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products may contain defects when they are first introduced or as new versions or enhancements are released, or their release may be delayed due to unforeseen difficulties during product development. If any of our products or third-party components used in our products, contain defects, bugs, vulnerabilities, or have reliability, quality, or compatibility problems, we may not be able to successfully design workarounds or resolve the issues in a timely manner. Furthermore, if any of these problems are not discovered until after we have commenced commercial production or deployment of a new product, we may be required to incur additional development costs, as well as costs to repair or replace our products, and expense previously capitalized production equipment costs, all of which could materially adversely affect our reputation, business, results of operations, and/or financial condition.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customers integrate our products with their products and/or systems, which may also be further integrated with a number of other third-party applications. As a result, if there is an actual or perceived breach of information integrity, security, or availability in one of our customers’ systems, it can be difficult to determine which product is at fault and we could ultimately be harmed by the failure of a third-party supplier’s product. Consequently, our reputation may be damaged, and customers may be reluctant to buy our products, which could materially and adversely affect our ability to retain existing customers and attract new customers. To resolve these problems, we may have to invest significant capital and other resources and we would likely lose, or experience a delay in, market acceptance of the affected product or products. These and similar problems may also result in claims against us by our customers or others, any of which could materially adversely affect our reputation, business, results of operations, and/or financial condition.</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Adverse changes in the political, regulatory, and economic policies of governments in connection with trade with China and Chinese customers have reduced the demand for our products and damaged our business.</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Regulatory activity, such as tariffs, export controls, economic sanctions, and restrictions on investment and data transfers as well as vigorous enforcement of U.S. export controls and economic sanctions laws have in the past and may continue to materially limit our ability to make sales to our customers in China, which has in the past and may continue to harm our results of operations, reputation, and financial condition. Due to the U.S. government restricting sales to certain customers in China, sales to some of our customers may require licenses in order for us to export our products; however, there can be no assurances that requests for licenses will be approved by the U.S. government. Further, augmentation of restricted or prohibited persons lists maintained by the U.S. government could reduce our ability to sell to certain customers. Fluid tariff policies of both the U.S. and Chinese governments may reduce demand for our products and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231F20"/>
          <w:sz w:val="20"/>
        </w:rPr>
      </w:pPr>
      <w:r>
        <w:rPr>
          <w:rFonts w:ascii="Times New Roman;serif" w:hAnsi="Times New Roman;serif"/>
          <w:b w:val="false"/>
          <w:color w:val="231F20"/>
          <w:sz w:val="20"/>
        </w:rPr>
        <w:t>increase input costs. Moreover, concerns that U.S. companies may not be reliable suppliers as a result of these and other actions has caused, and may in the future cause, some of our customers in China to amass large inventories of our products well in advance of need or caused some of our customers to replace our products in favor of products from other suppliers. Additionally, the Chinese government adopted a law with respect to unreliable suppliers. Any designation as an unreliable supplier may have an adverse impact on our business and operations. Recent U.S. government restrictions on investments into China by U.S. persons and regarding access by Chinese persons to certain personal data relating to U.S. persons could hinder our Chinese operations. In addition, there may be indirect impacts to our business that we cannot easily quantify such as the fact that some of our other customers’ systems may also be impacted by export restrictions.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Significant uncertainty remains about the future relationship between the United States and China as tariffs and other trade and investment barriers remain historically high, other key areas of economic and foreign policy difference remain unresolved and tensions remain elevated. The current U.S. Administration has called for substantial changes to U.S. foreign trade policy with respect to China, and there is currently significant uncertainty about the future relationship between the United States and China with respect trade policies, treaties, tariffs and taxes.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Any customers in China that are subject to trade restrictions or tariffs, may develop their own products instead of purchasing from us or they may acquire products from our competitors or other third-party sources that are not subject to the U.S. tariffs and trade restrictions. Some customers in China may be able to cancel or defer purchase orders on short notice without incurring a penalty and, therefore, they may be more likely to do so while the tariffs and trade restrictions are in effect. If export restrictions related to Chinese customers are sustained for a long period of time, or increased, or if other export restrictions are imposed, including restrictions on trade with other countries, it will have an adverse impact on our revenue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the third-party manufacturing partners, including manufacturers and assembly and test providers, with which we contract, or any additional third-party manufacturing partners with which we may contract in the future, do not achieve satisfactory yields or quality, our reputation and customer relationships could be harmed.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depend on satisfactory manufacturing capacity, prices, and production yields, as well as timely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Manufacturers with which we contract now or in the future may experience manufacturing defects and reduced manufacturing yields from time to time. If these third-party manufacturing partners were to extend lead times, limit supplies or the types of capacity we require, or increase prices due to capacity constraints or other factors, our revenue and gross margin may materially decline. Any new third-party manufacturing partners we work with may present additional and unexpected manufacturing challenges that could require significant management time and focus.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Changes in manufacturing processes or the inadvertent use of defective or contaminated materials by the manufacturers that we work with could result in lower than anticipated production yields or unacceptable performance of our devices. Many of these problems are difficult to detect at an early stage of the manufacturing process and may be time-consuming and expensive to correct. Poor production yields or defects, integration issues or other performance problems in our products could significantly harm our customer relationships and financial results, and give rise to financial or other damages to our customers. Any product liability claim brought against us, even if unsuccessful, would likely be time-consuming and costly to defend.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Manufacturing yields for new products initially tend to be lower as we complete product development and commence volume manufacturing, and typically increase as we bring the product to full production. Our business model includes the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operating results are impacted by wide fluctuations of supply and demand in the industry.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semiconductor industry is highly cyclical and subject to wide fluctuations of supply and demand as a result of rapid technological change, rapid product obsolescence and price erosion, evolving standards, and frequent new product introductions. The industry has experienced significant downturns during recent global recessions, characterized by diminished product demand, production overcapacity, and high inventory levels. During these periods, our customers may overstock our products, which would lead to inflated demand for the given period.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Further, any upturn in the semiconductor industry could result in increased competition for access to third-party manufacturing partners. We are dependent on the availability of this capacity to manufacture and assemble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and our third-party manufacturing partners have not provided assurances that adequate capacity will be available to us in the future.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periods when broad fluctuations or changes in business conditions occur, it is difficult to assess the impact on our business. We have sought to reduce our exposure to these fluctuations in our industry by ensuring we have adequate inventory during periods of high demand, including having sufficient supply of components needed to produce more of our products. However, we have experienced substantial period-to-period fluctuations in operating results and expect, in the future, to experience period-to-period fluctuations in operating results due to these changes in business conditions.</w:t>
      </w:r>
    </w:p>
    <w:p>
      <w:pPr>
        <w:pStyle w:val="TextBody"/>
        <w:bidi w:val="0"/>
        <w:spacing w:lineRule="auto" w:line="288" w:before="240" w:after="283"/>
        <w:jc w:val="both"/>
        <w:rPr/>
      </w:pPr>
      <w:r>
        <w:rPr>
          <w:rFonts w:ascii="Times New Roman;serif" w:hAnsi="Times New Roman;serif"/>
          <w:b/>
          <w:i/>
          <w:color w:val="231F20"/>
          <w:sz w:val="20"/>
        </w:rPr>
        <w:t>We previously identified material weaknesses in our internal control over financial reporting and may identify additional material weaknesses in the future or fail to maintain an effective system of internal control over financial reporting. Although these material weaknesses have been remediated, if we fail to develop and maintain effective internal control over financial reporting, our ability to produce timely and accurate financial statements or comply with applicable laws and regulations could be impaired, which could harm our business and negatively impact the value of our common stock</w:t>
      </w:r>
      <w:r>
        <w:rPr>
          <w:rFonts w:ascii="Times New Roman;serif" w:hAnsi="Times New Roman;serif"/>
          <w:b w:val="false"/>
          <w:color w:val="231F20"/>
          <w:sz w:val="20"/>
        </w:rPr>
        <w:t>.</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are subject to Section 404(a) and (b) of the Sarbanes-Oxley Act, which requires us to make a formal assessment of the effectiveness of our internal control over financial reporting for that purpose. In addition, our independent registered public accounting firm is required to formally attest to the effectiveness of our internal control over financial reporting. Maintaining effective disclosure controls and procedures and effective internal controls over financial reporting are necessary for us to produce reliable financial statements and disclosure reports. While we have remediated previously identified material weaknesses, we cannot assure you that additional material weaknesses will not arise in the future, particularly as we continue to scale our operations, integrate new systems and processes such as a new enterprise resource planning system, and as certain of our foreign subsidiaries, which historically have not been subject to full SOX</w:t>
        <w:noBreakHyphen/>
        <w:t>based testing due to their size and scope, grow or otherwise become material and require expanded internal control design, documentation, and testing. Any failure to maintain effective disclosure controls and internal control over financial reporting could harm our business and could cause a decline in the trading price of our common stock.</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have designed and implemented new controls and measures to remediate our previously identified material weaknesses, and these measures may not be sufficient to avoid the identification of additional material weaknesses in the future.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with the SEC. Ineffective disclosure controls and procedures and internal control over financial reporting could also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 In addition, if we are unable to continue to meet these requirements, we may not be able to remain listed on the Nasdaq Global Select Market (“Nasdaq”).</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addition, we have relatively limited experience implementing the systems and controls that are necessary to operate as a public company. If these new systems or controls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 implementation issues that may arise.</w:t>
      </w:r>
    </w:p>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As a result, any failure to maintain effective internal control over financial reporting could materially and adversely affect our business, financial condition, results of operations, and the trading price of our common stock.</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experience difficulties in transitioning to smaller geometry process nodes, and tapeouts in smaller nodes are more expensive.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order to remain competitive, we have transitioned, and expect to continue to transition, our semiconductor products to be manufactured in accordance with increasingly smaller line width geometries. We periodically evaluate the benefits, on a product-by-product basis, of migrating our product designs to smaller geometry process nodes. We also evaluate the costs of migrating to smaller geometry process nodes, including both actual costs and opportunity costs related to the technologies we choose to forego. These complex transitions are imperative for us to remain competitive with the rest of the industry.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We have been, and may continue to be, dependent on our relationships with our manufacturers to transition to smaller geometry processes successfully. We cannot ensure that the third parties we use will be able to effectively manage any future transitions. If we or any of our partners experience significant delays in a future transition or fail to efficiently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implement a transition, we could experience reduced manufacturing yields, delays in product deliveries, and increased expenses, all of which could harm our relationships with our customers and our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we are unable to attract, train, and retain qualified personnel, particularly our design and technical personnel, we may not be able to execute our business strategy effectively.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future success depends on our ability to attract and retain qualified personnel, including our management, sales and marketing, and finance, and particularly our design and technical personnel. In addition, we permit certain of our employees work remotely, which adds to the complexity of our business operations. We do not know whether we will be able to retain all of these personnel as we continue to pursue our business strategy.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Historically, we have encountered difficulties in hiring qualified engineers because there is a limited pool of engineers with the expertise required in our field and competition for these personnel is intense in our industry. In addition, competition for these personnel in the San Francisco Bay Area, where our headquarters are located, and in other locations where we maintain offices, is intense. We have from time to time experienced, and we expect to continue to experience, difficulty in hiring and retaining employees with appropriate qualifications. As the source of our technological and product innovations, our design and technical personnel represent a significant asset. The loss of the services of one or more of our key employees, especially our key design and technical personnel, or our inability to attract and retain qualified design and technical personnel, could harm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Many of our key personnel are, or will soon be, vested in a substantial amount of shares of our common stock, RSUs, or stock options. Employees may be more likely to terminate their employment with us if the shares they own or the shares underlying their vested RSUs or options have significantly appreciated in value relative to the original purchase prices of the shares or the exercise price of the options or grant date values of the RSUs, or, conversely, if the exercise price of the options that they hold are significantly above the trading price of our common stock. In addition, job candidates and existing employees often consider the value of the stock awards they receive in connection with their employment. If the perceived value of our stock awards declines, it may adversely affect our ability to recruit and retain highly skilled employees.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business would be adversely affected by the departure of existing members of our senior management team.</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success depends, in large part, on the continued contributions of our senior management team, and in particular, the services of Jitendra Mohan, our Co-Founder and Chief Executive Officer, and Sanjay Gajendra, our Co-Founder, President, and Chief Operating Officer. Effective succession planning is also important for our long-term success. Failure to ensure effective transfers of knowledge and smooth transitions involving senior management could hinder our strategic planning and execution. We do not maintain key person life insurance policies, so the loss of one or more of our executive officers or key employees (including any limitation on the performance of their duties or short-term or long-term absences as a result of illness or disability) could adversely affect our business.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Cybersecurity risks, including cyber-attacks, cybersecurity incidents, data breaches, and system vulnerabilities could adversely affect our business and disrupt our operations.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depend heavily on our technology infrastructure and cloud partners as well as maintain and rely upon certain critical information systems for the effective operation of our business. We routinely collect, receive, process, and store personal information (which may also be referred to as “personal data” or “personally identifiable data”) and sensitive data via our information systems, including intellectual property and other proprietary information about our business and that of our customers, as well as personal data regarding our employees, suppliers, business partners, and others. We and the third parties upon which we rely face a variety of evolving threats, which could cause cybersecurity incidents or data breaches, such as cyber-attacks. Our information technology systems are subject to damage or interruption from a number of potential sources, including, but not limited to, natural disasters, destructive or inadequate code, computer malware, ransomware attacks, bugs, viruses, system vulnerabilities, social engineering (including phishing attacks), denial-of-service attacks, other malicious internet-based activity, online and offline fraud, wrongful conduct by insider employees or vendors, as well as cybersecurity incidents, data breaches, power failures, internal negligence, malfeasance, and natural disasters.</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Cyber-attacks are increasing in number and sophistication, are well-financed, in some cases supported by state actors, and are designed to not only attack, but also to evade detection, and are being facilitated or enhanced by evolving technologies, including AI. Since the techniques used to obtain unauthorized access to systems and data, or to otherwise sabotage them, change frequently and are often not recognized until launched against a target, we may be unable to anticipate these techniques or to implement adequate preventative measures. Attempts to disrupt or gain unauthorized access to our and our third-party vendors’ information systems from malicious third parties or insider threats may incorporate widely varying and frequently changing tactics, which may be enhanced or facilitated by evolving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such as AI. Geopolitical instability may also increase the likelihood that we will experience direct or collateral consequences from cyber conflicts between nation-states or other politically motivated actors targeting critical technology infrastructure. Accidental or willful cybersecurity incidents, data breaches, or other unauthorized access to our information systems or the systems of our third-party service providers, or the existence of computer viruses, malware (such as ransomware), or vulnerabilities in our or their data or software could expose us to a risk of information loss, business disruption, or the misappropriation of proprietary and confidential information, including information relating to our products or customers or the personal information of our employees or third parties. </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Despite our internal controls and investment in security measures, we, and our third-party vendors, have been subject to cyber-attacks or unauthorized network intrusions. Should a cybersecurity incident or data breach occur, it could disrupt our business and result in, among other things, unfavorable publicity, damage to our reputation, loss of our trade secrets and other competitive information, litigation by affected parties, possible financial obligations for liabilities and damages related to the theft or misuse of any personal or confidential information, significant remediation costs, disruption of key business operations, and significant diversion of our resources. Any of such events could have a material adverse effect on our business, profitability, and financial condition. In addition, despite our internal controls and processes, malicious code, and cybersecurity vulnerabilities in our products and services may expose our customers to cyberattacks and other security risks, which may result in claims, regulatory action, or reputational damage. While we may be entitled to damages if an adverse event arises from our third-party service providers’ failure to perform under their agreements with us, any award may be insufficient to cover the actual costs incurred by us and, as a result of a service provider’s failure to perform, we may be unable to collect any damages.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Further, we continue to devote resources to protect our systems and data from unauthorized access or misuse, and we will be required to expend greater resources in the future. However, we cannot guarantee that our risk management processes will be effective at mitigating the risk to our information technology systems.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U.S. and foreign regulators have also increased their focus on cybersecurity vulnerabilities and risks. Compliance with laws and regulations concerning privacy, cybersecurity, data governance, and data protection could result in significant expense, and any failure to comply could result in proceedings against us by regulatory authorities or other third parties. Such proceedings could result in (among other things) unfavorable publicity, damage to our reputation, possible financial obligations for liabilities, and government orders to implement additional protective measures or adopt new protocols, which could result in additional material expense. Moreover, we may be required to make legal notifications to affected individuals, disclosures to investors, and subject to fines and other sanctions resulting from any related breaches of applicable data privacy laws and regulations. Further, customers and third-party manufacturing partners increasingly demand rigorous contractual, certification, and audit provisions regarding privacy, cybersecurity, data governance, data protection, confidentiality, and intellectual property, which may also increase our overall compliance burden. </w:t>
      </w: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any cyber liability insurance that we maintain may not provide adequate coverage against potential liabilities related to any experienced cybersecurity incident or breach.</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have incurred and may in the future incur significant costs in order to implement, maintain, and/or update security systems that are designed to protect our information systems and the design of our products and services, and we may miscalculate the level of investment necessary to protect our systems adequately. Since the techniques used to obtain unauthorized access to or sabotage and compromise systems and technology infrastructure change frequently and are often not recognized until launched against a target, we may be unable to anticipate these techniques or to implement adequate preventive measures.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To the extent that any system failure, known or unknown vulnerability, cybersecurity incident or data breach results in material disruptions or interruptions to our operations or the theft, loss, unauthorized access or disclosure of, or damage to our data (including personal information) or confidential information, including our intellectual property, or exposes our customers to cybersecurity threats and attacks, our reputation, business, results of operations, and/or financial condition could be materially adversely affected.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An impairment of the confidentiality, integrity, or availability of our IT systems, or those of one or more of our IT vendors could have a material adverse effect on our business.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Our business depends on various internally managed IT systems and outsourced IT services, including cloud-based infrastructure services, to support, among other things, the design and simulation of our products, financial reporting, product orders and shipping, human resources, benefit plan administration, IT network development, network monitoring, productivity tools, and electronic communication services. Our operations are dependent upon our and our IT vendors’ ability to protect our respective IT infrastructure against damage from business continuity events that could have a significant disruptive effect. Although these systems and services are designed to protect and secure our customers’, suppliers’, and employees’ confidential information, as well as our own proprietary information, we are dependent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vendors and providers to adequately address cybersecurity threats to their systems and services. Any failure of these internal or third-party systems and services to operate effectively or any breach of such systems or services could disrupt our operations and could have a material adverse effect on our business, financial condition, and results of operations. </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business is subject to complex and evolving laws and regulations regarding privacy, data protection, artificial intelligence and cybersecurity, any actual or perceived failure to comply with such laws and regulations could have a material adverse effect on our business.</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There are numerous U.S. federal, state, local, and international laws and regulations regarding privacy, data protection, and cybersecurity that govern the collection, receipt, processing, and storage of personal information and other information. The scope of these laws and regulations is expanding and evolving, and may be subject to differing interpretations, which may be inconsistent across jurisdictions, or conflict with other rules. </w:t>
      </w:r>
    </w:p>
    <w:p>
      <w:pPr>
        <w:pStyle w:val="TextBody"/>
        <w:bidi w:val="0"/>
        <w:spacing w:lineRule="auto" w:line="268" w:before="120" w:after="283"/>
        <w:ind w:left="0" w:right="0" w:firstLine="450"/>
        <w:jc w:val="both"/>
        <w:rPr/>
      </w:pPr>
      <w:r>
        <w:rPr>
          <w:rFonts w:ascii="Times New Roman;serif" w:hAnsi="Times New Roman;serif"/>
          <w:b w:val="false"/>
          <w:color w:val="231F20"/>
          <w:sz w:val="20"/>
        </w:rPr>
        <w:t xml:space="preserve">For example, the CCPA as amended by the California Privacy Rights Act, affords California residents broad privacy rights and protections, imposes specific obligations with respect to the processing and storage of personal data and provides for civil penalties for certain violations. Numerous additional states have passed and others have proposed and may in the future pass comprehensive state privacy laws that may impose additional obligations on our business. Also, if </w:t>
      </w:r>
      <w:r>
        <w:rPr>
          <w:rFonts w:ascii="Times New Roman;serif" w:hAnsi="Times New Roman;serif"/>
          <w:b w:val="false"/>
          <w:color w:val="000000"/>
          <w:sz w:val="20"/>
        </w:rPr>
        <w:t xml:space="preserve">we collect and process personal data regarding individuals in the European Economic Area (“EEA”) or the UK, we may be subject to the GDPR in this report unless specified otherwise.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potential European activities. </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Data privacy laws and regulations are constantly evolving and can be subject to significant change and/or interpretive application. The lack of a unified approach to data privacy and protection laws in the U.S. and internationally could lead to complicated and potentially conflicting compliance requirements. Varying and evolving jurisdictional requirements could increase the costs and complexity of our compliance efforts and require changes to how we conduct our business. Violations of applicable data privacy laws can result in significant penalties.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and legislators across the world are also increasingly scrutinizing and restricting certain personal data transfers. For example, the Department of Justice’s January 8, 2025, rule on “Preventing Access to U.S. Sensitive Personal Data and Government-Related Data by Countries of Concern or Covered Persons,” prohibits or restricts certain data transactions involving countries of concern, including China. Actual or alleged violations of these regulations may be punishable by criminal and/or civil sanctions and may result in exclusion from participation in federal and state programs.</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are also subject to the terms of our privacy policies and obligations to third parties, including our customers, related to privacy, data protection, and cybersecurity. Our customers may also be subject to differing privacy laws, rules and legislation, which may mean that they require us to be bound by varying contractual requirements applicable to certain other jurisdictions. Adherence to such contractual requirements may impact our collection, use, processing, storage, sharing and disclosure of personal information.</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use of AI in our business processes may also subject us to cybersecurity, data privacy, IT, intellectual property, regulatory, legal, operational, competitive, reputational and other risks and challenges that could affect our business. Use of AI by us or our vendors could result in bias, discrimination, or harmful or inaccurate content that may be actionable under privacy, data protection, and emerging AI laws. The use of certain AI technology can also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Any failure, or perceived failure, by us to comply with applicable data protection or other laws, or with regulatory obligations or industry standards in our customer contracts, could result in damage to our reputation, proceedings, or actions against us by governmental entities or others, subject us to significant fines, penalties, judgments, and negative publicity, require us to change our business practices as well as increase the costs and complexity of compliance. Any of the foregoing could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are in the process of transitioning to a new enterprise resource planning system (“ERP”), and our assessment of readiness, prioritization of resources, and any delays or difficulties associated with the design, implementation, or post-implementation use of our new ERP system could adversely impact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We rely on information systems to manage our business, summarize our operating and financial results, and provide timely information to our management. We have been evaluating the design and implementation of a new ERP system as part of our efforts to enhance and scale our operational and financial systems. As our evaluation has progressed, we have continued to assess our organizational readiness, resource requirements, and overall prioritization of initiatives before proceeding with implementation. As a result, we are continuing to evaluate the appropriate timeline for the design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implementation of a new ERP system and may adjust the scope, timing, or approach to implementation based on our ongoing assessments. This process is a complex project with broad scope, in which we have and will continue to invest significant financial and human capital. Despite our efforts, we may experience delays, unexpected costs, or other difficulties throughout the design and implementation process. Further, although we will need to conduct extensive testing in an effort to ensure that the new ERP system is operating as intended, post-implementation disruptions to or difficulties in use of any such system could require us to incur additional costs, or could impair, among other things, our ability to record sales, process transactions, collect receivables, and produce timely and accurate historical and forecasted financial information, which could adversely impact our business, financial condition, and results of operations. Additionally, if the ERP system we implement does not ultimately operate as intended, the effectiveness of our internal control over financial reporting could be harmed. </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be subject to warranty claims and product liability.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From time to time, we may be subject to warranty or product liability claims arising from defects or perceived defects in our products or in third-party components that we integrate into our products, which may lead to significant expenses. Our customer contracts typically contain warranty provisions relating to product quality issues. While we generally seek to limit our liability to the replacement of the part or to the revenue received for the product in our agreements, we may not be successful in limiting our liability to these remedies, or these limitations on liability may not be effective or sufficient in scope in all cases. If a customer’s equipment fails in use, the customer may incur significant monetary damages including an equipment recall or associated replacement expenses, as well as lost revenue. The customer may claim that a defect in our product caused the equipment failure and assert a claim against us to recover monetary damages. The process of identifying a defective or potentially defective product in systems that have been widely distributed may be lengthy and require significant resources, and we may incur significant replacement costs and contract damage claims from our customers. In certain situations, we may consider incurring the costs or expenses related to a recall of one of our products in order to avoid the potential claims that may be raised should customer suffer a failure due to a design or manufacturing process defect. Any such liabilities may greatly exceed any revenue we receive from the relevant products. Costs, payments, or damages incurred or paid by us in connection with warranty and product liability claims could materially adversely affect our financial condition and results of operations. We may also be exposed to such claims as a result of any acquisition we may undertake in the future.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Litigation and other legal proceedings may adversely affect our business.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From time to time we may become involved in legal proceedings relating to patent and other intellectual property matters, product liability claims, employee claims, including wrongful termination, tort, or contract claims, federal regulatory investigations, securities class action, and other legal proceedings or investigations, which could have an adverse impact on our business, financial condition, and results of operations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The occurrence of events for which we are self-insured, or which exceed our insurance limits, may adversely affect our profitability and liquidity.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have insurance coverage related to many different types of risk; however, we self-insure for some potentially significant risks and obligations, including those that may exceed policy limits. The risks and exposures that we self-insure include, but are not limited to, employee health matters, business interruption, natural disasters, war and terrorism, certain property matters, product defects, cybersecurity matters, employment risks, environmental matters, political risks, and intellectual property matters. Although we believe we have sufficient capital to satisfy a potential loss, should there be a loss or adverse judgment in an area for which we are self-insured, our financial condition, results of operations, and liquidity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business, financial condition, and results of operations could be adversely affected by worldwide economic conditions, as well as political and economic conditions in the countries in which we conduct business.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business, financial condition, and results of operations have in the past and may in the future vary based on changes in our industry, as well as the impact of the global economy on our third-party manufacturing partners and customers. Our results of operations currently depend, in part, on the demand for our products, which in turn are influenced by the amount of business that our customers conduct. To the extent that weak or volatile economic conditions, including due to a pandemic or health epidemic, labor shortages, supply chain disruptions, inflation, government shutdowns, geopolitical developments (such as international conflicts and the implementation of, or changes to or further expansions of, trade sanctions, export restrictions, tariffs, and embargoes), deterioration of the financial services industry, and other events outside of our control, result in a reduced volume of business for our customers and prospective customers, demand for, and use of, our products has in the past and may in the future decline.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Furthermore, weak economic conditions have in the past and may in the future make it more difficult to collect on outstanding accounts receivable and increase our expenses. Specifically, our distributors or customers may fail to make payments when due, default under their agreements with us, or become insolvent or declare bankruptcy, or a supplier may determine that it will no longer do business with us as a customer. Additionally, a distributor,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Further, in recent years, we have seen labor costs, product supply costs, and other operating expenses rise due to high rates of inflation, but have not been able to offset these costs with higher prices of our products. If customers or prospective customers elect not to purchase our products, as a result of a weak economy or rising inflation and increased costs or otherwise, or our distributors are unable to continue to distribute our products, our business, results of operations, and financial condition could be adversely affected.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products are manufactured, assembled, and tested outside the United States. Any conflict or uncertainty in these countries, including due to political unrest or safety concerns, could harm our business, financial condition, and results of operations. In addition, if the government of any country in which our products are manufactured or sold sets technical standards for products manufactured in or imported into their country that are not widely shared, it may lead some of our customers to suspend imports of their products into that country, require manufacturers in that country to manufacture products with different technical standards and disrupt cross-border manufacturing relationships, which, in each case, could harm our business.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not be able to accurately predict our future capital needs, and we may not be able to obtain additional financing to fund our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negatively impact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common stock.</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 preparation of financial statements in conformity with generally accepted accounting principles in the United States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the section entitled “Management’s Discussion and Analysis of Financial Condition and Results of Operations,” the results of which form the basis for making judgments about the carrying values of assets, liabilities, equity, revenue, and expenses that are not readily apparent from other sources. Significant assumptions and estimates used in preparing our consolidated financial statements include those listed in our consolidated financial statements. If our assumptions change or if actual circumstances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from those in our assumptions, our results of operations may be adversely affected and may fall below the expectations of securities analysts and investors, resulting in a decline in the market price of our common stock.</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reported financial results may be adversely affected by new accounting pronouncements or changes in existing accounting standards and practices.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prepare our financial statements in conformity with GAAP. These accounting principles are subject to interpretation or changes by the Financial Accounting Standards Board and the SEC. New accounting pronouncements and interpretations of accounting standards and practices have occurred in the past and are expected to occur in the future. New accounting pronouncements or a change in the interpretation of accounting standards or practices may have a significant effect on our reported financial results and may affect our reporting of transactions completed before the change is effective.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 pandemic, epidemic, or outbreak of an infectious disease may materially and adversely affect our business and our financial results.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Our business could be adversely affected by pandemics, epidemics, outbreaks of infectious diseases or other public health crises in regions where we operate or otherwise do business. Such events could disrupt global and regional economic activity, labor markets, and supply chains, including those applicable to the semiconductor industry, and could adversely affect our employees, customers, suppliers and other business partners.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Public health crises may result in cities, counties, states, and countries imposing a wide range of restrictions on the physical movement of our employees, partners, and customers, including physical distancing, travel bans and restrictions, closure of non-essential business, quarantines, work-from-home directives, and shelter-in-place orders. These measures have previously caused, and may cause in the future, business slowdowns or shutdowns in affected areas, both regionally and worldwide. If future pandemics, epidemics or other global health crises have a substantial impact on the productivity of our employees and partners, or materially impair our ability to operate our business or our customers’ ability to purchase our products, our results of operations and overall financial performance may be harmed.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To the extent future pandemics, epidemics, outbreaks of infectious diseases, or public health crises adversely affect our business and financial results, it may also have the effect of heightening many of the other risks described herein.</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Changes in current or future laws or regulations or the imposition of new laws or regulations by federal or state agencies or foreign governments could impair our ability to compete in international markets, or subject us to criminal penalties or significant fines, which may adversely affect our business and reputation.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Changes in current laws or regulations applicable to us or the imposition of new laws and regulations in the United States or other jurisdictions in which we do business, such as Canada, China, Germany, India, Israel, Singapore, Taiwan and Vietnam, could materially and adversely affect our business, financial condition, and results of operations. See “Item 2. Properties included in Part I, Item 1 of this Annual Report” for a description of how our facilities are used in these various jurisdictions. For example, we are subject to export control laws, regulations, and requirements that limit which products we sell and where and to whom we sell our products. In some cases, it is possible that export licenses would be required from U.S. government agencies for some of our products in accordance with the Export Administration Regulations and the International Traffic in Arms Regulations. We may not be successful in obtaining the necessary export licenses in all instances. Any limitation on our ability to export or sell our products imposed by these laws would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are also subject to anti-corruption and anti-bribery and similar laws, such as the Foreign Corrupt Practices Act (the “FCPA”), the U.S. domestic bribery statute contained in 18 U.S.C. § 201, the U.S. Travel Act, the USA PATRIOT Act, the U.K. Bribery Act,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intermediaries and our employees, representatives, contractors, partners, and agents, even if we do not explicitly authorize such activities. We have implemented an anti-corruption compliance program, but cannot guarantee that all our employees and agents, as well as those companies we outsource certain of our business operations to,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global operations expose us to numerous legal and regulatory requirements and failure to comply with such requirements, including unexpected changes to such requirements, could adversely affect our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service our customers around the world. We are subject to numerous, and sometimes conflicting, legal regimes of the United States and foreign national, state, and provincial authorities on matters as diverse as anti- corruption, trade or investment restrictions, tariffs, taxation, sanctions, anti-competition, data security or transfer, and privacy. U.S. laws may be different in significant respects from the laws of the PRC or Taiwan, where we utilize a significant portion of our third-party manufacturing partners, and jurisdictions where we seek to expand. U.S. laws could also directly conflict with PRC laws, forcing businesses to choose between compliance with conflicting legal regimes. We also may seek to expand operations in emerging market jurisdictions where legal systems are less developed or familiar to us.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Changes in tax laws in some jurisdictions may also have a retroactive effect and we may be found to have paid less tax than required in such jurisdictions.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or criminal prosecution, unfavorable publicity and other reputational damage, and allegations by our customers that we have not performed our contractual obligations. Due to the varying degrees of development of the legal systems of the countries in which we operate, local laws might be insufficient to protect our rights.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Regulatory authorities in jurisdictions into or from which we ship our products or import supplies could levy fines, restrict or delay our ability to export products or import supplies, or increase costs associated with the manufacture or transfer of products.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 significant portion of our sales require export and import activities. Our products are subject to laws and regulations that govern international trade, including but not limited to the FCPA, Export Administration Regulations, International Traffic in Arms Regulations and trade sanctions against embargoed countries and restricted parties, including those administered by the U.S. Departments of State, Commerce, and Treasury. Licenses or license exceptions may be required for the shipment of certain products to certain countries. Regulations and laws regarding licensing may also change in the future, requiring us to obtain licenses for products that we have not previously been required to license. Any changes in laws or regulations around license requirements may delay scheduled shipments, which could have a material adverse impact on our revenue.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Further, determination by a government that we have failed to comply with trade sanctions, investment, anti-bribery, or other regulations can result in penalties that may include denial of export privileges, fines, penalties, and seizure of products, or loss of reputation, any of which could have a material adverse effect on our business, sales, and earnings. A change in laws and regulations could restrict our ability to transfer product to previously permitted countries, customers, distributors or others. For example, the U.S. Commerce Department imposes and periodically revises restrictions on advanced computing ICs, computer commodities that contain such ICs, as well as on certain semiconductor manufacturing items, and expands controls on transactions involving items for supercomputer and semiconductors and manufacturing end-uses. In October 2023, the U.S. Commerce Department issued proposed rules updating the October 2022 rule to seek additional export restrictions for certain semiconductors and related manufacturing equipment, and it is expected the U.S. Commerce Department will continue to revise such regulations in the future. The Export Administration Regulations also effectively prohibits sales of items for a “military end use,” to a “military end-user,” or for a “military intelligence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user,” or end-use to certain countries, such as Belarus, Burma, Cambodia, Cuba, China, Iran, North Korea, Russia, Syria, and Venezuela. Any of the foregoing changes could adversely impact our operational costs due to the administrative impacts of complying with these regulations and may limit those with whom we conduct business. Any one or more of these sanctions, future sanctions, a change in laws or regulations, or a prohibition on shipment of our products to significant customers could have a material adverse effect on our business, financial condition, and results of operations.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 United States and other countries have levied tariffs and taxes on certain goods, implemented trade restrictions, and introduced national security protection policies. Trade tensions between the United States and China, which escalated in 2018, have continued and include the United States increasing tariffs on Chinese origin goods and China increasing tariffs on U.S. origin goods. Increases on tariffs on Chinese-origin goods may intensify pricing pressure on our products and negatively impact our operating results. Increased tariffs on our customers’ systems could adversely impact their sales, and increased tariffs on our products in comparison to those of our competitors could each result in lower demand for our products. U.S. tariffs, including those on semiconductors, could reduce demand for our products. Additionally, U.S. tariffs, including those on critical minerals, could increase our input costs. Tariff increases by other nations could similarly negatively affect demand for our products and could increase input costs.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Further changes in trade or national security protection policy, tariffs, additional taxes, restrictions on exports or other trade or investment barriers, including those taken against the United States in retaliation for U.S. policies, may limit our ability to obtain equipment, components or raw materials (including rare earth minerals), limit our ability to produce products, increase our selling and/or manufacturing costs, decrease margins, reduce the competitiveness of our products, reduce our ability to sell products, or reduce our ability to have mergers and acquisitions approved by governmental agencies, any of which could have a material adverse effect on our business, results of operations, or financial conditions.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Customer demands for us to implement business practices that are more stringent than legal requirements may reduce our revenue opportunities or cause us to incur higher costs.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Some of our customers may require that we implement practices that are more stringent than those required by applicable laws with respect to labor requirements, the materials contained in our products, energy efficiency, environmental matters, or other items. To comply with such requirements, we may also require our third-party manufacturing partners to adopt such practices, as needed. Our third-party manufacturing partners may in the future refuse to implement these practices or may charge us more for complying with them. If certain of our third-party manufacturing partners refuse to implement the practices, we may be forced to source from alternate third-party manufacturing partners. The cost to implement such practices may cause us to incur higher costs and reduce our profitability, and if we do not implement such practices, such customers may disqualify us as a supplier, resulting in decreased revenue opportunities. Developing, enforcing, and auditing customer-requested practices at our own sites and in our supply chain will increase our costs and may require more personnel.</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Changes in existing tax laws, tax rules, or tax practices may adversely affect our financial results.</w:t>
      </w:r>
    </w:p>
    <w:p>
      <w:pPr>
        <w:pStyle w:val="TextBody"/>
        <w:bidi w:val="0"/>
        <w:spacing w:lineRule="auto" w:line="26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rules governing U.S. federal, state, and local and non-U.S. taxation are constantly under review by persons involved in the legislative process, the Internal Revenue Service, the U.S. Treasury Department, and other taxing authorities. Changes to tax laws or tax rulings, such as the One Big Beautiful Bill Act enacted into law on July 4, 2025, or changes in interpretations of existing laws (which changes may have retroactive application), could adversely affect us or holders of our common stock. These changes could subject us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 As we expand the scale of our business activities, any changes in the U.S. and non-U.S. taxation of such activities may increase our effective tax rate and harm our business, financial condition, and results of operations.</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Risks Related to Our Industry</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operate in intensely competitive markets. Our failure to compete effectively, including as a result of industry consolidation, would harm our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 semiconductor industry is extremely competitive. We currently compete with a number of large domestic and international companies, some of which have greater financial, technical, and management resources than us. For example, we are facing, and expect we will continue to face, significant competition in the cloud data center infrastructure market. Our competitors typically compete with us with respect to some, but not all, of our solutions. Our principal competitors include Broadcom, Inc., Credo Technology Group Holding Ltd., Marvell Technology, Inc., Microchip Technology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Montage Technology, Parade Technologies, Ltd., and Rambus Inc,. Our efforts to introduce new products into markets with entrenched competitors will expose us to additional competitive pressures. In addition, many of our competitors have longer operating histories, greater name recognition, larger customer bases, and greater sales, marketing, and distribution resources than we do and some operate and maintain their own fabrication facilities.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Additionally, customer expectations and requirements have been evolving rapidly. As a result, some of our competitors may be better situated to meet changing customer needs and secure design wins. Increasing competition in the markets in which we operate may negatively impact our revenue and gross margins. For example, competitors with greater financial resources may be able to offer lower prices than us, or they may offer additional products, services or other incentives that we may be unable to match.</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also may experience discriminatory or anti-competitive practices by our competitors that could impede our growth, cause us to incur additional expense or otherwise negatively affect our business. In addition, some of these competitors may use their market power to dissuade our customers from purchasing from us. The semiconductor industry has experienced significant consolidation in recent years, which has resulted in several of our competitors becoming much larger in terms of revenue, product offerings, and scale. Our competitors may also establish cooperative relationships among themselves or with third parties or may acquire companies that provide similar products to ours. We expect this trend to continue as companies attempt to improve the leverage of growing research and development costs, strengthen or hold their market positions in an evolving industry, or are unable to continue operations. Companies that are strategic partners in some areas of our business may acquire or form alliances with our competitors, thereby reducing their business with us. We believe that industry consolidation may result in stronger competitors that are better able to compete as sole-source vendors for customers. This could lead to more variability in our operating results. Any of these factors, alone or in combination with others, could harm our business, financial condition, and results of operations and result in a loss of market share and an increase in pricing pressure.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Unfavorable or uncertain conditions in the cloud market, as well as for AI infrastructures, may cause fluctuations in our rate of revenue growth or financial results.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solutions are intended to address infrastructure needs for our hyperscaler customers, specifically to support their cloud and AI infrastructure needs. If domestic and global economic conditions worsen, or adoption, use, and commercialization of AI technology does not progress as expected or if the demand for cloud and AI compute infrastructure does not develop in the manner or in the time periods we anticipate, overall spending may be reduced, which would adversely impact demand for our solutions in these cloud and AI infrastructure market. In addition, unfavorable developments with evolving laws and regulations worldwide related to AI, such as those laws that may pause or inhibit continued adoption of AI, including GenAI, may limit global adoption, impede our strategy, and negatively impact our long-term expectations in this area. Even if the demand for cloud and AI compute infrastructure develop in the manner or in the time periods we anticipate, if we do not have timely, competitively priced, market-accepted solutions available to meet our customers’ planned roll-out of their systems, particularly as they offer new AI infrastructure offerings, we may miss a significant opportunity and our business, financial condition, results of operations, and cash flows could be materially and adversely affected.</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Raw material price fluctuations or decreased availability of certain raw materials can increase the cost of our products, impact our ability to meet customer commitments, and may adversely affect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cost of raw materials is a key element in the cost of our products. Our inability to offset material price inflation could adversely affect our business, financial condition, and results of operations. Many major components, product equipment items, and raw materials are procured or subcontracted on a single or sole- 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meet our supply needs would jeopardize our ability to fulfill obligations under our contracts, which could, in turn, result in reduced sales and profits, contract penalties or terminations, and damage to our customer relationships.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Furthermore, increases in the price of certain raw materials may result in increased production costs and may result in a decrease in our gross margins. For example, in the past the industry has seen shortages of packaging materials, including substrates, and also experienced silicon wafer capacity constraints. If these shortages or other shortages of raw materials are to occur in the future, it may cause delays in our ability to produce our products if we are unable to secure adequate supply. Moreover, our third-party manufacturing partners have in the past and may in the future pass the increase in raw materials and commodity costs onto us, which would further reduce the gross margin of our products. To the extent that we are able to pass along raw material price increases to some of our customers, there is often a delay between the time we are required to pay the increased price and the time we are able to pass these increases along. In addition, because we are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fabless company, global market trends such as shortage of capacity to fulfill our fabrication needs also may increase our raw material costs and thus decrease our gross margins.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customers rely on many different service providers and component suppliers to build their systems, and the frequency at which our products are purchased by our customers and incorporated into their systems may vary.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success of our products is heavily dependent on the timely introduction, quality, and evolving technical requirements for our customers’ systems incorporating our products, which are impacted by factors beyond our control. Our customers’ systems are often very complex and require very specific components, and as a result our customers’ systems could be delayed due to incompatible deliverables from other service providers. Our customers may experience other difficulties with the supply of the various components of their products or testing and manufacturing of their products that are outside of our control. We incur significant design and development costs in connection with designing our products for customers’ systems that may not ultimately achieve market acceptance. If our customers experience changing market requirements, failed evaluations or field trials or incompatible deliverables from other service providers,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Risks Related to our Intellectual Property</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failure to protect our intellectual property rights adequately could impair our ability to compete effectively or to defend ourselves from litigation, which could harm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success depends in part upon protecting our intellectual property. We rely primarily on patent, copyright, trademark, and trade secret laws, as well as intellectual property assignment and confidentiality and non-disclosure agreements and other methods, to protect and establish our rights in our proprietary technologies and know-how. As of December 31, 2025, we have been issued 26 patents in the United States and one patent in foreign jurisdictions. In addition, we have 35 patent applications pending in the United States, and five patent applications pending in foreign jurisdictions. We cannot guarantee that any pending or future patent applications will be issued to have the coverage originally sought, and even if the pending patent applications are granted, the rights granted to us may not be meaningful or provide us with any commercial advantage. Additionally, our patents could be opposed, contested, narrowed, circumvented, challenged, abandoned, or designed around by our competitors or be declared invalid or unenforceable in judicial or administrative proceedings.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and as a result we can give no assurance that any patents that have issued to may issue in the future will protect our current and future products, will provide us with any competitive advantage, or will not be challenged, invalidated or circumvented in the future.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failure of our patents to adequately protect our products might make it easier for our competitors to offer similar products or technologies. To the extent we pursue any foreign patent protection, it is unlikely that such protection would be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protection and enforcement in foreign countries may not be available.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Monitoring unauthorized use of our intellectual property is difficult and costly. Although we are not aware of any material instances of unauthorized use of our intellectual property in the past, it is possible that unauthorized use of our intellectual property may have occurred or may occur in the future without our knowledge. Despite our efforts, our failure to effectively protect our intellectual property could reduce the value of our solutions, and could harm our business, results of operations, and financial condition. Further, we may in the future need to initiate infringement claims or litigation against third parties. Litigation, whether we are a plaintiff or a defendant, can be expensive, time-consuming, and may divert the efforts of our executives, technical staff, and managerial personnel, which could harm our business, whether or not such litigation results in a determination favorable to us.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Some of the software used within our products, as well as that of some of our customers, may be derived from and/or incorporate so-called “open source” software that is generally made available to the public by its authors and/or other third parties under open source licenses, which in some instances may subject us to certain unfavorable conditions,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requirements that we offer our proprietary software, which incorporates or links to such open source software, for no cost or that we make such proprietary software publicly available for free.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While we believe we have complied with our obligations under the various applicable licenses for open source software, in the event the copyright holder of any open source software were to successfully establish in court that we had or have not complied with the terms of a license for a particular work, we could be required to release the source code of that work to the public for free and/or stop distribution of that work. Any requirement to disclose our proprietary source code could have a material adverse effect on our business, financial condition, and results of operations, could result in negative publicity and could help our competitors develop products that are similar to or better than ours.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utilize a significant amount of intellectual property in our business. If we are unable or fail to protect our intellectual property, our business could be adversely affected.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rely on a combination of intellectual property rights, including patents, copyrights, trademarks, and trade secrets, as well as customary contractual protections with our customers, third-party manufacturing partners, employees, and consultants to protect our intellectual property rights. We spend significant resources to monitor and protect our intellectual property rights, including the unauthorized use of our products, usage rates of the software seat licenses and subscriptions that we sell, but even with significant expenditures, we may not be able to protect the intellectual property rights that are valuable to our business. In particular, we are unable to predict or assure that:</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our intellectual property rights will not lapse or be invalidated, circumvented, challenged, or, in the case of third-party intellectual property rights licensed to us, be licensed to others;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our intellectual property rights will provide competitive advantages to us;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rights previously granted by third parties to intellectual property licensed or assigned to us, including portfolio cross-licenses, will not hamper our ability to assert our intellectual property rights or hinder the settlement of currently pending or future disputes;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any of our pending or future patent, copyright, or trademark applications will be issued or have the coverage originally sought;</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we will be able to enforce our intellectual property rights in certain jurisdictions where competition is intense or where legal protection may be weak; or</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we have sufficient intellectual property rights to protect our products or our business.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Effective intellectual property protection may not be available in every country in which we offer our products. The laws of certain jurisdictions where we do business or may do business in the future may not recognize intellectual property rights or protect them to the same extent as do the laws of the United States. Any changes in, or unexpected interpretations of, intellectual property laws may compromise our ability to enforce our trade secret and intellectual property rights. In addition, when patents expire, we lose the protection and competitive advantages they originally provided to us. Failure to obtain or maintain protection of our trade secrets or other intellectual property could harm our competitive position and could have a material adverse effect on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Further, we may acquire companies with intellectual property that is subject to licensing obligations to other third parties. These licensing obligations may extend to our own intellectual property following any such potential acquisition and may limit our ability to assert our intellectual property rights. From time to time, we may pursue litigation to assert our intellectual property rights, including, in some cases, against our customers and third-party manufacturing partners where we believe they have infringed, violated, or misappropriated our intellectual property. Claims of this sort could also harm our relationships with our customers and might deter future customers from doing business with us. Conversely, third parties have and may in the future pursue intellectual property litigation against us. An adverse decision in such types of legal action could result in material expense and limit our ability to assert our intellectual property rights and limit the value of our platform, which could otherwise negatively impact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rely on third-party technologies for the development of our products and our inability to use such technologies in the future would harm our ability to remain competitive.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We rely on third parties for technologies that are integrated into our products. If we are unable to continue to use or license these technologies on reasonable terms, or if these technologies become unreliable, unavailable or fail to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properly, we may not be able to secure adequate alternatives in a timely manner or at all, and our ability to offer our products and remain competitive in our market would be harmed. In addition, even if we are unable to successfully license technology from third-parties to develop future products, we may not be able to develop such products in a timely manner or at all. The operation or security of our products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could harm our business.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may face claims of intellectual property infringement, misappropriation or other violations, which could be time-consuming or costly to defend or settle, result in the loss of significant rights or harm our relationships with our customers or reputation in the industry.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From time to time, third parties may assert against us and our customers their patent and other intellectual property rights to technologies that are used in or are important to our business, which may be time consuming and costly to defend or settle. We may in the future, particularly as a public company with an increased profile and visibility, receive communications from others alleging our infringement, misappropriation or other violation of patents, trade secrets or other intellectual property rights. In addition, in the event that we recruit employees or contractors from other companies, including certain potential competitors, and these employees or contractors are involved in the development of products that are similar to the products they assisted in developing for their former employers, we may become subject to claims that such employees or contractors have improperly used or disclosed trade secrets or other proprietary information. We may also in the future be subject to claims by our third-party manufacturing partners, employees, or contractors asserting an ownership right in our patents, patent applications or other intellectual property, as a result of the work they performed on our behalf.</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Claims that our products or processes infringe, misappropriate, or otherwise violate third-party intellectual property rights, regardless of their merit or resolution, could be time-consuming or costly to defend or settle and could divert the efforts and attention of our management and technical personnel. Infringement claims also could harm our relationships with our customers and might deter future customers from doing business with us. We do not know whether we will prevail in these proceedings given the complex technical issues and inherent uncertainties in intellectual property litigation. If any pending or future proceedings result in an adverse outcome, we could be required to:</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cease the manufacture, use or sale of the infringing products or processes;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pay substantial damages for infringement, misappropriation or other violation;</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expend significant resources to develop non-infringing products or processes, which may not be successful;</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license certain components from the third-party claiming infringement, which license may not be available on commercially reasonable terms, or at all;</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cross-license our products to a competitor to resolve an infringement claim, which could weaken our ability to compete with that competitor; or</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pay substantial damages to our customers or end-users to discontinue their use of or to replace infringing product or process sold to them with non-infringing products or processes, if available.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Additionally, even if successful in such proceedings, our rights in our products or processes may be invalidated, or narrowed.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results could have a material adverse effect on our business, financial condition, and results 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Any potential dispute involving patents or other intellectual property could affect our customers, which could trigger our indemnification obligations to them and result in substantial expense to us.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In any potential dispute involving patents or other intellectual property, our customers could also become the target of litigation. Our agreements with customers generally include indemnification or other provisions under which we agree to indemnify or otherwise be liable to them for losses suffered or incurred as a result of third-party claims of intellectual property infringement. Large indemnity payments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certain of our customer agreements may not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maximum loss clauses, which may result in substantial liability. Any litigation against our customers could trigger indemnification obligations under some of our agreements, which could result in substantial expense to us, and which could materially and adversely affect our financial results.</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Risks Related to the Ownership of Our Common Stock</w:t>
      </w:r>
    </w:p>
    <w:p>
      <w:pPr>
        <w:pStyle w:val="TextBody"/>
        <w:bidi w:val="0"/>
        <w:spacing w:lineRule="auto" w:line="288" w:before="240" w:after="283"/>
        <w:jc w:val="left"/>
        <w:rPr/>
      </w:pPr>
      <w:r>
        <w:rPr>
          <w:rFonts w:ascii="Times New Roman;serif" w:hAnsi="Times New Roman;serif"/>
          <w:b/>
          <w:i/>
          <w:color w:val="000000"/>
          <w:sz w:val="20"/>
        </w:rPr>
        <w:t>Our IPO occurred in March 2024. As such, there has only been a public market for our common stock for a relatively short period of time. The</w:t>
      </w:r>
      <w:r>
        <w:rPr>
          <w:color w:val="231F20"/>
        </w:rPr>
        <w:t xml:space="preserve"> </w:t>
      </w:r>
      <w:r>
        <w:rPr>
          <w:rFonts w:ascii="Times New Roman;serif" w:hAnsi="Times New Roman;serif"/>
          <w:b/>
          <w:i/>
          <w:color w:val="231F20"/>
          <w:sz w:val="20"/>
        </w:rPr>
        <w:t>market price of our common stock may continue to be volatile, which could cause the value of your investment to decline, and we may not be able to meet investor or analyst expectations.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market prices of the securities of other newly public companies have historically been highly volatile and markets in general have been highly volatile. The trading price of our common stock is likely to continue to be volatile and could be subject to wide fluctuations in price in response to various factors, some of which are beyond our control. These factors include:</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actual or anticipated changes in our results of operations, and variations between our actual or forecasted results of operations and the expectations of securities analysts, investors, and the financial community;</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actions of securities analysts who initiate or maintain coverage of us, changes in financial estimates by any securities analysts who follow our company or our failure to meet these estimates, or the expectations of investors;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changes in operating the performance and stock market valuations of companies in our industry, including our competitors;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general economic conditions and slow or negative growth of related markets;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announcements by us or our competitors of design wins, acquisitions, new products, significant contracts, commercial relationships, or capital commitments;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our ability to develop and market new and enhanced products on a timely basis;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expectations of securities analysts, investors, and the financial community about the size or rate of growth of the cloud and AI infrastructure markets;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commencement of, or our involvement in, litigation;</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disruption to our operations;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the emergence of new sales channels in which we are unable to compete effectively;</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any major change in our board of directors or management;</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changes in governmental regulations; and</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other events or factors, including those resulting from political conditions, election cycles, government shutdowns, international or armed conflicts, war or incidents of terrorism, increased tariffs, or responses to these events.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addition, the stock market in general has experienced extreme price and volume fluctuations. These broad market and industry factors may seriously harm the market price of our common stock, regardless of our actual operating performance. This variability and unpredictability could also result in our failure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Trading price fluctuations may also make it more difficult for us to use our common stock as a means to make acquisitions or to use options to purchase our common stock to attract and retain employees.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revenue and operating results can fluctuate from period to period, which could cause our share price to fluctuate.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Annual Report on Form 10-K:</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the receipt, reduction or cancellation of orders by customers;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the gain or loss of significant customers;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market acceptance of our products and our customers’ systems;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our ability to develop, introduce and market new products and technologies on a timely basis;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the timing and extent of product development costs;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new product announcements and introductions by us or our competitors;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incurrence of research and development and related new product expenditures;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cyclical fluctuations in our markets;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significant warranty claims, including those not covered by our third-party manufacturing partners;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changes in our product mix or customer mix;</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intellectual property disputes; and</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loss of key personnel or the inability to attract qualified personnel.</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As a result of these and other factors, the results of any prior quarterly or annual periods should not be relied upon as indications of our future revenue or operating performance. Fluctuations in our revenue and operating results could cause our share price to decline. You should not rely on our past results as an indication of our future performance.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Sales of substantial amounts of our common stock in the public markets or the perception that sales might occur, could cause the trading price of our common stock to decline.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Sales of a substantial number of shares of our common stock into the public market, particularly sales by our directors, executive officers, and stockholders, or the perception that these sales might occur, could cause the trading price of our common stock to decline.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While shares held by directors, executive officers, and other affiliates are subject to volume limitations under Rule 144 under the Securities Act, and various vesting agreements, we are unable to predict the timing of the effect that such sales may have on the prevailing market price of our common stock.</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In addition, as of December 31, 2025, we had (i) </w:t>
      </w:r>
      <w:r>
        <w:rPr>
          <w:rFonts w:ascii="Times New Roman;serif" w:hAnsi="Times New Roman;serif"/>
          <w:b w:val="false"/>
          <w:color w:val="000000"/>
          <w:sz w:val="20"/>
        </w:rPr>
        <w:t>2,721,076</w:t>
      </w:r>
      <w:r>
        <w:rPr>
          <w:color w:val="231F20"/>
        </w:rPr>
        <w:t xml:space="preserve"> </w:t>
      </w:r>
      <w:r>
        <w:rPr>
          <w:rFonts w:ascii="Times New Roman;serif" w:hAnsi="Times New Roman;serif"/>
          <w:b w:val="false"/>
          <w:color w:val="231F20"/>
          <w:sz w:val="20"/>
        </w:rPr>
        <w:t xml:space="preserve">options outstanding that, if fully exercised, would result in the issuance of </w:t>
      </w:r>
      <w:r>
        <w:rPr>
          <w:rFonts w:ascii="Times New Roman;serif" w:hAnsi="Times New Roman;serif"/>
          <w:b w:val="false"/>
          <w:color w:val="000000"/>
          <w:sz w:val="20"/>
        </w:rPr>
        <w:t>2,721,076</w:t>
      </w:r>
      <w:r>
        <w:rPr>
          <w:color w:val="231F20"/>
        </w:rPr>
        <w:t xml:space="preserve"> </w:t>
      </w:r>
      <w:r>
        <w:rPr>
          <w:rFonts w:ascii="Times New Roman;serif" w:hAnsi="Times New Roman;serif"/>
          <w:b w:val="false"/>
          <w:color w:val="231F20"/>
          <w:sz w:val="20"/>
        </w:rPr>
        <w:t xml:space="preserve">shares of common stock, (ii) </w:t>
      </w:r>
      <w:r>
        <w:rPr>
          <w:rFonts w:ascii="Times New Roman;serif" w:hAnsi="Times New Roman;serif"/>
          <w:b w:val="false"/>
          <w:color w:val="000000"/>
          <w:sz w:val="20"/>
        </w:rPr>
        <w:t>9,531,296</w:t>
      </w:r>
      <w:r>
        <w:rPr>
          <w:color w:val="231F20"/>
        </w:rPr>
        <w:t xml:space="preserve"> </w:t>
      </w:r>
      <w:r>
        <w:rPr>
          <w:rFonts w:ascii="Times New Roman;serif" w:hAnsi="Times New Roman;serif"/>
          <w:b w:val="false"/>
          <w:color w:val="231F20"/>
          <w:sz w:val="20"/>
        </w:rPr>
        <w:t xml:space="preserve">RSU and PSU awards outstanding that would result in the issuance of </w:t>
      </w:r>
      <w:r>
        <w:rPr>
          <w:rFonts w:ascii="Times New Roman;serif" w:hAnsi="Times New Roman;serif"/>
          <w:b w:val="false"/>
          <w:color w:val="000000"/>
          <w:sz w:val="20"/>
        </w:rPr>
        <w:t>9,531,296</w:t>
      </w:r>
      <w:r>
        <w:rPr>
          <w:color w:val="231F20"/>
        </w:rPr>
        <w:t xml:space="preserve"> </w:t>
      </w:r>
      <w:r>
        <w:rPr>
          <w:rFonts w:ascii="Times New Roman;serif" w:hAnsi="Times New Roman;serif"/>
          <w:b w:val="false"/>
          <w:color w:val="231F20"/>
          <w:sz w:val="20"/>
        </w:rPr>
        <w:t xml:space="preserve">shares of common stock upon settlement, and (iii) 2,442,360 warrants outstanding that, if fully exercised, would result in the issuance of 2,442,360 shares of common stock. All of the shares of common stock issuable upon the exercise of stock options, subject to RSU awards and the shares reserved for future issuance under our equity incentive plans have been registered on a registration statement on Form S-8 under the Securities Act. Accordingly, these shares can be freely sold in the public market upon issuance, subject to volume limitations under Rule 144 for our executive officers and directors and applicable vesting requirements.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Certain holders of our common stock have rights, subject to some conditions, to require us to file registration statements for the public resale of the common stock or to include such shares in registration statements that we may file for us or other stockholders. Any registration statement we file to register additional shares, whether as a result of registration rights or otherwise, could cause the trading price of our common stock to decline or be volatile.</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issuance of additional capital stock in connection with financings, acquisitions, investments, our stock incentive plans, or otherwise will dilute all other stockholders and could negatively affect our results of operations.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We expect to issue additional capital stock in the future that will result in dilution to all other stockholders. We expect to grant equity awards to employees, directors, consultants, and advisors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Any additional grants of equity awards under our stock incentive plans will also increase stock-based compensation expense and negatively affect our results of operations. For example, during the year ended December 31, 2025, stock-based compensation expense was </w:t>
      </w:r>
      <w:r>
        <w:rPr>
          <w:rFonts w:ascii="Times New Roman;serif" w:hAnsi="Times New Roman;serif"/>
          <w:b w:val="false"/>
          <w:color w:val="000000"/>
          <w:sz w:val="20"/>
        </w:rPr>
        <w:t>$160.0 million</w:t>
      </w:r>
      <w:r>
        <w:rPr>
          <w:rFonts w:ascii="Times New Roman;serif" w:hAnsi="Times New Roman;serif"/>
          <w:b w:val="false"/>
          <w:color w:val="231F20"/>
          <w:sz w:val="20"/>
        </w:rPr>
        <w:t>. As a public company, our equity awards are primarily subject to time-based vesting, and accordingly we expect to continue to incur stock-based compensation expense as these awards vest.</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executive officers, directors, and stockholders, if they choose to act together, have the ability to control or significantly influence all matters submitted to shareholders for approval.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As of December 31, 2025, our executive officers, directors, and greater than 5% stockholders, in the aggregate, beneficially owned approximately 37.9% of our outstanding common stock (assuming no exercise of outstanding options warrants or settlement of RSUs in shares upon vesting). As a result, such persons, acting together, have the ability to control or significantly influence all matters submitted to our board of directors or shareholders for approval, including the appointment of our management, the election and removal of directors and approval of any significant transaction, as well as our management and business affairs. In addition,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shareholders.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Provisions in our charter documents and under Delaware law could make an acquisition of our company more difficult, limit attempts by our stockholders to replace or remove our current board of directors, and limit the trading price of our common stock.</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Provisions in our amended and restated certificate of incorporation and second amended and restated bylaws may have the effect of delaying or preventing a change of control or changes in our management. Our amended and restated certificate of incorporation and our second amended and restated bylaws include provisions that:</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provide that our board of directors is classified into three classes of directors with staggered three-year terms;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permit our board of directors to establish the number of directors and fill any vacancies and newly-created directorships;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require super-majority voting to amend our amended and restated bylaws; provided, however, that majority voting shall be required to amend our amended and restated bylaws if our board of directors recommends that the stockholders approve such amendment;</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authorize the issuance of “blank check” preferred stock that our board of directors could use to implement a stockholder rights plan;</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prohibit stockholder action by written consent;</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provide that only our board of directors is authorized to call a special meeting of stockholders;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provide that the board of directors is expressly authorized to alter or repeal our amended and restated bylaws; and</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contain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If securities or industry analysts do not publish research, or publish inaccurate or unfavorable research, about our business, the trading price of our common stock and trading volume could be adversely affected.</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trading market for our common stock depends in part on the research and reports that securities or industry analysts publish about us or our business. If few securities analysts cover us, or if industry analysts cease coverage of us, the trading price for our common stock would be negatively affected. If one or more of the analysts who cover us downgrade our common stock or publish inaccurate or unfavorable research about our business, our common stock trading price would likely decline. If one or more of these analysts cease coverage of us or fail to publish reports on us on a regular basis, demand for our common stock could decrease, potentially causing our common stock trading price and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do not expect to declare or pay any dividends on our common stock for the foreseeable future.</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do not intend to pay cash dividends on our common stock for the foreseeable future. Consequently, investors must rely on sales of their common stock after price appreciation, which may never occur, as the only way to realize any future gains on their investment. Investors seeking dividends should not purchase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capital expenditure needs, the terms of any preferred equity securities we may issue in the future, covenants in the agreements governing any future indebtedness, other contractual restrictions, industry trends, and any other factors or considerations our board of directors may regard as relevant.</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Our second amended and restated bylaws designate specific courts as the sole and exclusive forum for certain disputes that may be initiated by our stockholders, which could limit our stockholders’ ability to obtain a favorable judicial forum for disputes with us or our directors, officers, or employees.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Pursuant to our second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or a claim based on, a breach of a fiduciary duty owed by any current or former director, officer or other employee of ours to us or our stockholders; (iii) any action asserting a claim pursuant to any provision of the DGCL, our amended and restated certificate of incorporation or our second amended and restated bylaws or as to which the DGCL confers jurisdiction on the Court of Chancery of the State of Delaware; or (iv) any action asserting a claim governed by the internal affairs doctrine (collectively, the “Delaware Forum Provision”). The Delaware Forum Provision does not apply to any causes of action arising under the Securities Act or the Exchange Act, or to any claim for which the federal courts have exclusive jurisdiction. Our second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or the Exchange Act and the respective rules and regulations promulgated thereunder (the “Federal Forum Provision”). In addition, our second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recognize that the Delaware Forum Provision and the Federal Forum Provision in our second amended and restated bylaws may impose additional litigation costs on stockholders in pursuing any such claims. Additionally, the forum selection clauses in our second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the federal forum selection provisions purporting to require claims under the Securities Act be brought in federal court, there is uncertainty as to whether courts in other states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General Risk Factors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We have incurred, and will continue to incur, increased costs as a result of operating as a public company, and our management is required to devote substantial time to support compliance with our public company responsibilities and corporate governance practices.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As a public company, we have incurred, and will continue to incur, significant finance, legal, accounting, and other expenses, including director and officer liability insurance, that we did not incur as a private company, and which we expect to further increase following our recent transition to large accelerated filer status. The Sarbanes-Oxley Act, the Dodd- Frank Act, stock exchange listing requirements, the reporting requirements of the Exchange Act and other applicable securities rules and regulations impose various requirements on public companies in the United States.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large accelerated filer, we are subject to enhanced reporting, internal control, and compliance obligations, including auditor attestation of internal control over financial reporting, additional reporting obligations regarding executive compensation, and the requirement to hold nonbinding advisory votes on executive compensation, and our management and other personnel devote a substantial amount of time to support compliance with these requirements. Moreover, these rules and regulations have increased, and will continue to increase, our legal and financial compliance costs and make certain activities more time-consuming and costly. We cannot predict the amount or timing of these additional costs that we will incur as a public company, and the resulting strain on management resources could adversely affect our results of operations and financial condition. These enhanced obligations may also increase the risk of errors or delays in our financial and SEC reporting, and we may not be able to effectively manage these additional requirements, which could adversely affect investor confidence and the market price of our common stock.</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established policies and processes designed to identify, assess, and mitigate cybersecurity risks. These policies and processes are intended to protect the confidentiality, integrity, and availability of our critical information systems and our critical data, including intellectual property and confidential information that is proprietary, strategic, or competitive in nature. They include the deployment of third-party security solutions and tools designed to monitor, identify, and address cybersecurity risks, as well as the development of an incident response plan informed by the National Institute of Standards and Technology (“NIST”) framework that is designed to identify and manage significant events that may impact our information technology infrastructure, including those arising from or related to cybersecurity threats. As part of our cybersecurity risk management, we conduct periodic risk assessments designed to identify reasonably foreseeable potential internal and external risks, the likelihood of occurrence and any potential damage that could result from such risks, and the sufficiency of existing policies, procedures, systems, controls, and other safeguards in place to manage such risks. We also maintain risk-based processes to assess and review the cybersecurity practices of certain of our third-party vendors and services providers prior to onboarding, including through review of System and Organization (SOC) reports provided by potential vendors and the inclusion of security requirements in contracts, as appropriate. Employees are required to complete annual cybersecurity awareness training designed to raise awareness of cybersecurity threats. While we have not, as of the date of this Form 10-K, experienced a cybersecurity threat or incident that resulted in a material adverse impact to our business or operations, there can be no guarantee that we will not experience such an incident in the future.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For more information about the risks from cybersecurity threats, see the risk factors entitled “</w:t>
      </w:r>
      <w:r>
        <w:rPr>
          <w:rFonts w:ascii="Times New Roman;serif" w:hAnsi="Times New Roman;serif"/>
          <w:b w:val="false"/>
          <w:i/>
          <w:color w:val="000000"/>
          <w:sz w:val="20"/>
        </w:rPr>
        <w:t>Cybersecurity risks, including cyber-attacks, data breaches, and system vulnerabilities could adversely affect our business and disrupt our operations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An impairment of the confidentiality, integrity, or availability of our IT systems, or those of one or more of our IT vendors could have a material adverse effect on our business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Governance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(“Board”) considers cybersecurity risk as part of its overall risk oversight function and has delegated to the Audit Committee of the Board (the “Audit Committee”) oversight of cybersecurity matters, cybersecurity risk management, disclosure obligations with respect to cybersecurity incidents, and compliance with SEC rules applicable to cybersecurity risk management.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receives quarterly reports from management on our cybersecurity risks. In addition, management will update the Audit Committee, as necessary, regarding any significant cybersecurity incidents. The Audit Committee regularly reports to the full Board regarding its activities, including those related to cybersecurity risk.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is currently serving as interim Chief Information Security Officer (“CISO”) while we conduct a search for a successor following the departure of our CISO in January 2026. Our CISO, in connection with our IT personnel, is responsible for day-to-day implementation, management and evaluation of our cybersecurity risk assessment and management processes. This team has primary responsibility for our overall cybersecurity risk management program, including monitoring the detection, prevention, mitigation, and remediation of cybersecurity incidents, and works in partnership with our other business leaders, including our Chief Financial Officer and General Counsel. Our CISO supervises both our internal cybersecurity personnel and any retained external cybersecurity consultants. Our interim CISO has over two decades of engineering and general management experience in various technical roles, including oversight of functions into which the CISO reported. Our interim CISO was also previously responsible for setting up our IT and our IT security from its founding until June 2022.</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cybersecurity incident response process is designed to escalate significant cybersecurity incidents to a team of business leaders, including, but not limited to, our Chief Financial Officer and General Counsel. In the case of a cybersecurity incident, this team of business leaders will work with our incident response team to help determine the severity of the impact of a cybersecurity incident, as well as to help mitigate and remediate cybersecurity incidents of which they are notified. The incident response team will also work under the oversight of legal counsel and the Audit Committee to determine whether an incident is material for disclosure purposes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corporate headquarters is located in San Jose, California, where we currently lease approximately 154,231 square feet for office space, research and development, and testing, pursuant to a lease agreement that expires in November 2032. We also lease additional facilities in Irvine and Texas in United States, Canada, Germany, India, Singapore, and Vietnam for research and development, in China and Taiwan for local customer support and sales, and in Israel for research and development and local customer support.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facilities are suitable to meet our current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pending legal proceedings. From time to time, we may be subject to legal proceedings and claims arising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has been listed on the Nasdaq Global Select Market under the symbol “ALAB” since March 20, 2024, the first trading day following our IPO. Prior to that date, there was no public trading market for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31, 2026, there were 1,057 holders of record of our common stock. Because many of our shares of common stock are held by brokers and other institutions on behalf of stockholders, we are unable to estimate the total number of beneficial owners of our common stock repressed by these record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Price Performance Graph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This performance graph shall not be deemed “soliciting material” or to be “filed” for purposes of Section 18 of the Exchange Act or incorporated by reference into any filings under the Securities Act or the Exchange Act, except as shall be expressly set forth by specific reference in such filing.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graph below compares the cumulative total return on our common stock with the cumulative total return of the NASDAQ Composite Index and the Philadelphia Semiconductor Index (PHLX) during the period from March 20, 2024 to December 31, 2025. The graph compares a $100 investment on March 20, 2024 in our common stock with a $100 investment on March 20, 2024 in each index and assumes that any dividends were reinvested. Shareholder returns over the indicated periods should not be considered indicative of future share prices or shareholder returns.</w:t>
      </w:r>
    </w:p>
    <w:p>
      <w:pPr>
        <w:pStyle w:val="TextBody"/>
        <w:bidi w:val="0"/>
        <w:spacing w:before="120" w:after="283"/>
        <w:jc w:val="both"/>
        <w:rPr/>
      </w:pPr>
      <w:r>
        <w:rPr/>
        <w:drawing>
          <wp:inline distT="0" distB="0" distL="0" distR="0">
            <wp:extent cx="6305550" cy="3562350"/>
            <wp:effectExtent l="0" t="0" r="0" b="0"/>
            <wp:docPr id="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 descr=""/>
                    <pic:cNvPicPr>
                      <a:picLocks noChangeAspect="1" noChangeArrowheads="1"/>
                    </pic:cNvPicPr>
                  </pic:nvPicPr>
                  <pic:blipFill>
                    <a:blip r:embed="rId2"/>
                    <a:stretch>
                      <a:fillRect/>
                    </a:stretch>
                  </pic:blipFill>
                  <pic:spPr bwMode="auto">
                    <a:xfrm>
                      <a:off x="0" y="0"/>
                      <a:ext cx="6305550" cy="3562350"/>
                    </a:xfrm>
                    <a:prstGeom prst="rect">
                      <a:avLst/>
                    </a:prstGeom>
                  </pic:spPr>
                </pic:pic>
              </a:graphicData>
            </a:graphic>
          </wp:inline>
        </w:drawing>
      </w:r>
      <w:bookmarkStart w:id="0" w:name="i-1"/>
      <w:bookmarkEnd w:id="0"/>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 of Proceeds from Our IPO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19, 2024, our registration statement on Form S-1, as amended (File No. 333-277205), was declared effective by the SEC for our initial public offering. There has been no material change in the expected use of the net proceeds from our IPO as described in the final prospectus, dated March 19, 2024 and filed with the SEC on March 21, 2024 pursuant to Rule 424(b) of the Securities Act.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ind w:left="0" w:right="0" w:firstLine="450"/>
        <w:jc w:val="both"/>
        <w:rPr/>
      </w:pPr>
      <w:r>
        <w:rPr>
          <w:rFonts w:ascii="Times New Roman;serif" w:hAnsi="Times New Roman;serif"/>
          <w:b w:val="false"/>
          <w:i/>
          <w:color w:val="231F20"/>
          <w:sz w:val="20"/>
        </w:rPr>
        <w:t>The</w:t>
      </w:r>
      <w:r>
        <w:rPr>
          <w:color w:val="231F20"/>
        </w:rPr>
        <w:t xml:space="preserve"> </w:t>
      </w:r>
      <w:r>
        <w:rPr>
          <w:rFonts w:ascii="Times New Roman;serif" w:hAnsi="Times New Roman;serif"/>
          <w:b w:val="false"/>
          <w:i/>
          <w:color w:val="231F20"/>
          <w:sz w:val="20"/>
        </w:rPr>
        <w:t>following</w:t>
      </w:r>
      <w:r>
        <w:rPr>
          <w:color w:val="231F20"/>
        </w:rPr>
        <w:t xml:space="preserve"> </w:t>
      </w:r>
      <w:r>
        <w:rPr>
          <w:rFonts w:ascii="Times New Roman;serif" w:hAnsi="Times New Roman;serif"/>
          <w:b w:val="false"/>
          <w:i/>
          <w:color w:val="231F20"/>
          <w:sz w:val="20"/>
        </w:rPr>
        <w:t>discussion</w:t>
      </w:r>
      <w:r>
        <w:rPr>
          <w:color w:val="231F20"/>
        </w:rPr>
        <w:t xml:space="preserve"> </w:t>
      </w:r>
      <w:r>
        <w:rPr>
          <w:rFonts w:ascii="Times New Roman;serif" w:hAnsi="Times New Roman;serif"/>
          <w:b w:val="false"/>
          <w:i/>
          <w:color w:val="231F20"/>
          <w:sz w:val="20"/>
        </w:rPr>
        <w:t>and</w:t>
      </w:r>
      <w:r>
        <w:rPr>
          <w:color w:val="231F20"/>
        </w:rPr>
        <w:t xml:space="preserve"> </w:t>
      </w:r>
      <w:r>
        <w:rPr>
          <w:rFonts w:ascii="Times New Roman;serif" w:hAnsi="Times New Roman;serif"/>
          <w:b w:val="false"/>
          <w:i/>
          <w:color w:val="231F20"/>
          <w:sz w:val="20"/>
        </w:rPr>
        <w:t>analysis</w:t>
      </w:r>
      <w:r>
        <w:rPr>
          <w:color w:val="231F20"/>
        </w:rPr>
        <w:t xml:space="preserve"> </w:t>
      </w:r>
      <w:r>
        <w:rPr>
          <w:rFonts w:ascii="Times New Roman;serif" w:hAnsi="Times New Roman;serif"/>
          <w:b w:val="false"/>
          <w:i/>
          <w:color w:val="231F20"/>
          <w:sz w:val="20"/>
        </w:rPr>
        <w:t>of</w:t>
      </w:r>
      <w:r>
        <w:rPr>
          <w:color w:val="231F20"/>
        </w:rPr>
        <w:t xml:space="preserve"> </w:t>
      </w:r>
      <w:r>
        <w:rPr>
          <w:rFonts w:ascii="Times New Roman;serif" w:hAnsi="Times New Roman;serif"/>
          <w:b w:val="false"/>
          <w:i/>
          <w:color w:val="231F20"/>
          <w:sz w:val="20"/>
        </w:rPr>
        <w:t>our</w:t>
      </w:r>
      <w:r>
        <w:rPr>
          <w:color w:val="231F20"/>
        </w:rPr>
        <w:t xml:space="preserve"> </w:t>
      </w:r>
      <w:r>
        <w:rPr>
          <w:rFonts w:ascii="Times New Roman;serif" w:hAnsi="Times New Roman;serif"/>
          <w:b w:val="false"/>
          <w:i/>
          <w:color w:val="231F20"/>
          <w:sz w:val="20"/>
        </w:rPr>
        <w:t>financial</w:t>
      </w:r>
      <w:r>
        <w:rPr>
          <w:color w:val="231F20"/>
        </w:rPr>
        <w:t xml:space="preserve"> </w:t>
      </w:r>
      <w:r>
        <w:rPr>
          <w:rFonts w:ascii="Times New Roman;serif" w:hAnsi="Times New Roman;serif"/>
          <w:b w:val="false"/>
          <w:i/>
          <w:color w:val="231F20"/>
          <w:sz w:val="20"/>
        </w:rPr>
        <w:t>condition</w:t>
      </w:r>
      <w:r>
        <w:rPr>
          <w:color w:val="231F20"/>
        </w:rPr>
        <w:t xml:space="preserve"> </w:t>
      </w:r>
      <w:r>
        <w:rPr>
          <w:rFonts w:ascii="Times New Roman;serif" w:hAnsi="Times New Roman;serif"/>
          <w:b w:val="false"/>
          <w:i/>
          <w:color w:val="231F20"/>
          <w:sz w:val="20"/>
        </w:rPr>
        <w:t>and results</w:t>
      </w:r>
      <w:r>
        <w:rPr>
          <w:color w:val="231F20"/>
        </w:rPr>
        <w:t xml:space="preserve"> </w:t>
      </w:r>
      <w:r>
        <w:rPr>
          <w:rFonts w:ascii="Times New Roman;serif" w:hAnsi="Times New Roman;serif"/>
          <w:b w:val="false"/>
          <w:i/>
          <w:color w:val="231F20"/>
          <w:sz w:val="20"/>
        </w:rPr>
        <w:t>of operations</w:t>
      </w:r>
      <w:r>
        <w:rPr>
          <w:color w:val="231F20"/>
        </w:rPr>
        <w:t xml:space="preserve"> </w:t>
      </w:r>
      <w:r>
        <w:rPr>
          <w:rFonts w:ascii="Times New Roman;serif" w:hAnsi="Times New Roman;serif"/>
          <w:b w:val="false"/>
          <w:i/>
          <w:color w:val="231F20"/>
          <w:sz w:val="20"/>
        </w:rPr>
        <w:t>should</w:t>
      </w:r>
      <w:r>
        <w:rPr>
          <w:color w:val="231F20"/>
        </w:rPr>
        <w:t xml:space="preserve"> </w:t>
      </w:r>
      <w:r>
        <w:rPr>
          <w:rFonts w:ascii="Times New Roman;serif" w:hAnsi="Times New Roman;serif"/>
          <w:b w:val="false"/>
          <w:i/>
          <w:color w:val="231F20"/>
          <w:sz w:val="20"/>
        </w:rPr>
        <w:t>be read in conjunction</w:t>
      </w:r>
      <w:r>
        <w:rPr>
          <w:color w:val="231F20"/>
        </w:rPr>
        <w:t xml:space="preserve"> </w:t>
      </w:r>
      <w:r>
        <w:rPr>
          <w:rFonts w:ascii="Times New Roman;serif" w:hAnsi="Times New Roman;serif"/>
          <w:b w:val="false"/>
          <w:i/>
          <w:color w:val="231F20"/>
          <w:sz w:val="20"/>
        </w:rPr>
        <w:t>with</w:t>
      </w:r>
      <w:r>
        <w:rPr>
          <w:color w:val="231F20"/>
        </w:rPr>
        <w:t xml:space="preserve"> </w:t>
      </w:r>
      <w:r>
        <w:rPr>
          <w:rFonts w:ascii="Times New Roman;serif" w:hAnsi="Times New Roman;serif"/>
          <w:b w:val="false"/>
          <w:i/>
          <w:color w:val="231F20"/>
          <w:sz w:val="20"/>
        </w:rPr>
        <w:t>the</w:t>
      </w:r>
      <w:r>
        <w:rPr>
          <w:color w:val="231F20"/>
        </w:rPr>
        <w:t xml:space="preserve"> </w:t>
      </w:r>
      <w:r>
        <w:rPr>
          <w:rFonts w:ascii="Times New Roman;serif" w:hAnsi="Times New Roman;serif"/>
          <w:b w:val="false"/>
          <w:i/>
          <w:color w:val="231F20"/>
          <w:sz w:val="20"/>
        </w:rPr>
        <w:t>consolidated</w:t>
      </w:r>
      <w:r>
        <w:rPr>
          <w:color w:val="231F20"/>
        </w:rPr>
        <w:t xml:space="preserve"> </w:t>
      </w:r>
      <w:r>
        <w:rPr>
          <w:rFonts w:ascii="Times New Roman;serif" w:hAnsi="Times New Roman;serif"/>
          <w:b w:val="false"/>
          <w:i/>
          <w:color w:val="231F20"/>
          <w:sz w:val="20"/>
        </w:rPr>
        <w:t>financial</w:t>
      </w:r>
      <w:r>
        <w:rPr>
          <w:color w:val="231F20"/>
        </w:rPr>
        <w:t xml:space="preserve"> </w:t>
      </w:r>
      <w:r>
        <w:rPr>
          <w:rFonts w:ascii="Times New Roman;serif" w:hAnsi="Times New Roman;serif"/>
          <w:b w:val="false"/>
          <w:i/>
          <w:color w:val="231F20"/>
          <w:sz w:val="20"/>
        </w:rPr>
        <w:t>statements</w:t>
      </w:r>
      <w:r>
        <w:rPr>
          <w:color w:val="231F20"/>
        </w:rPr>
        <w:t xml:space="preserve"> </w:t>
      </w:r>
      <w:r>
        <w:rPr>
          <w:rFonts w:ascii="Times New Roman;serif" w:hAnsi="Times New Roman;serif"/>
          <w:b w:val="false"/>
          <w:i/>
          <w:color w:val="231F20"/>
          <w:sz w:val="20"/>
        </w:rPr>
        <w:t>and</w:t>
      </w:r>
      <w:r>
        <w:rPr>
          <w:color w:val="231F20"/>
        </w:rPr>
        <w:t xml:space="preserve"> </w:t>
      </w:r>
      <w:r>
        <w:rPr>
          <w:rFonts w:ascii="Times New Roman;serif" w:hAnsi="Times New Roman;serif"/>
          <w:b w:val="false"/>
          <w:i/>
          <w:color w:val="231F20"/>
          <w:sz w:val="20"/>
        </w:rPr>
        <w:t>related</w:t>
      </w:r>
      <w:r>
        <w:rPr>
          <w:color w:val="231F20"/>
        </w:rPr>
        <w:t xml:space="preserve"> </w:t>
      </w:r>
      <w:r>
        <w:rPr>
          <w:rFonts w:ascii="Times New Roman;serif" w:hAnsi="Times New Roman;serif"/>
          <w:b w:val="false"/>
          <w:i/>
          <w:color w:val="231F20"/>
          <w:sz w:val="20"/>
        </w:rPr>
        <w:t>notes</w:t>
      </w:r>
      <w:r>
        <w:rPr>
          <w:color w:val="231F20"/>
        </w:rPr>
        <w:t xml:space="preserve"> </w:t>
      </w:r>
      <w:r>
        <w:rPr>
          <w:rFonts w:ascii="Times New Roman;serif" w:hAnsi="Times New Roman;serif"/>
          <w:b w:val="false"/>
          <w:i/>
          <w:color w:val="231F20"/>
          <w:sz w:val="20"/>
        </w:rPr>
        <w:t>included</w:t>
      </w:r>
      <w:r>
        <w:rPr>
          <w:color w:val="231F20"/>
        </w:rPr>
        <w:t xml:space="preserve"> </w:t>
      </w:r>
      <w:r>
        <w:rPr>
          <w:rFonts w:ascii="Times New Roman;serif" w:hAnsi="Times New Roman;serif"/>
          <w:b w:val="false"/>
          <w:i/>
          <w:color w:val="231F20"/>
          <w:sz w:val="20"/>
        </w:rPr>
        <w:t>in Part II, Item 8 in this</w:t>
      </w:r>
      <w:r>
        <w:rPr>
          <w:color w:val="231F20"/>
        </w:rPr>
        <w:t xml:space="preserve"> </w:t>
      </w:r>
      <w:r>
        <w:rPr>
          <w:rFonts w:ascii="Times New Roman;serif" w:hAnsi="Times New Roman;serif"/>
          <w:b w:val="false"/>
          <w:i/>
          <w:color w:val="231F20"/>
          <w:sz w:val="20"/>
        </w:rPr>
        <w:t>Annual Report on Form 10-K. This</w:t>
      </w:r>
      <w:r>
        <w:rPr>
          <w:color w:val="231F20"/>
        </w:rPr>
        <w:t xml:space="preserve"> </w:t>
      </w:r>
      <w:r>
        <w:rPr>
          <w:rFonts w:ascii="Times New Roman;serif" w:hAnsi="Times New Roman;serif"/>
          <w:b w:val="false"/>
          <w:i/>
          <w:color w:val="231F20"/>
          <w:sz w:val="20"/>
        </w:rPr>
        <w:t>discussion</w:t>
      </w:r>
      <w:r>
        <w:rPr>
          <w:color w:val="231F20"/>
        </w:rPr>
        <w:t xml:space="preserve"> </w:t>
      </w:r>
      <w:r>
        <w:rPr>
          <w:rFonts w:ascii="Times New Roman;serif" w:hAnsi="Times New Roman;serif"/>
          <w:b w:val="false"/>
          <w:i/>
          <w:color w:val="231F20"/>
          <w:sz w:val="20"/>
        </w:rPr>
        <w:t>contains</w:t>
      </w:r>
      <w:r>
        <w:rPr>
          <w:color w:val="231F20"/>
        </w:rPr>
        <w:t xml:space="preserve"> </w:t>
      </w:r>
      <w:r>
        <w:rPr>
          <w:rFonts w:ascii="Times New Roman;serif" w:hAnsi="Times New Roman;serif"/>
          <w:b w:val="false"/>
          <w:i/>
          <w:color w:val="231F20"/>
          <w:sz w:val="20"/>
        </w:rPr>
        <w:t>forward-looking</w:t>
      </w:r>
      <w:r>
        <w:rPr>
          <w:color w:val="231F20"/>
        </w:rPr>
        <w:t xml:space="preserve"> </w:t>
      </w:r>
      <w:r>
        <w:rPr>
          <w:rFonts w:ascii="Times New Roman;serif" w:hAnsi="Times New Roman;serif"/>
          <w:b w:val="false"/>
          <w:i/>
          <w:color w:val="231F20"/>
          <w:sz w:val="20"/>
        </w:rPr>
        <w:t>statements</w:t>
      </w:r>
      <w:r>
        <w:rPr>
          <w:color w:val="231F20"/>
        </w:rPr>
        <w:t xml:space="preserve"> </w:t>
      </w:r>
      <w:r>
        <w:rPr>
          <w:rFonts w:ascii="Times New Roman;serif" w:hAnsi="Times New Roman;serif"/>
          <w:b w:val="false"/>
          <w:i/>
          <w:color w:val="231F20"/>
          <w:sz w:val="20"/>
        </w:rPr>
        <w:t>that</w:t>
      </w:r>
      <w:r>
        <w:rPr>
          <w:color w:val="231F20"/>
        </w:rPr>
        <w:t xml:space="preserve"> </w:t>
      </w:r>
      <w:r>
        <w:rPr>
          <w:rFonts w:ascii="Times New Roman;serif" w:hAnsi="Times New Roman;serif"/>
          <w:b w:val="false"/>
          <w:i/>
          <w:color w:val="231F20"/>
          <w:sz w:val="20"/>
        </w:rPr>
        <w:t>involve</w:t>
      </w:r>
      <w:r>
        <w:rPr>
          <w:color w:val="231F20"/>
        </w:rPr>
        <w:t xml:space="preserve"> </w:t>
      </w:r>
      <w:r>
        <w:rPr>
          <w:rFonts w:ascii="Times New Roman;serif" w:hAnsi="Times New Roman;serif"/>
          <w:b w:val="false"/>
          <w:i/>
          <w:color w:val="231F20"/>
          <w:sz w:val="20"/>
        </w:rPr>
        <w:t>risks</w:t>
      </w:r>
      <w:r>
        <w:rPr>
          <w:color w:val="231F20"/>
        </w:rPr>
        <w:t xml:space="preserve"> </w:t>
      </w:r>
      <w:r>
        <w:rPr>
          <w:rFonts w:ascii="Times New Roman;serif" w:hAnsi="Times New Roman;serif"/>
          <w:b w:val="false"/>
          <w:i/>
          <w:color w:val="231F20"/>
          <w:sz w:val="20"/>
        </w:rPr>
        <w:t>and</w:t>
      </w:r>
      <w:r>
        <w:rPr>
          <w:color w:val="231F20"/>
        </w:rPr>
        <w:t xml:space="preserve"> </w:t>
      </w:r>
      <w:r>
        <w:rPr>
          <w:rFonts w:ascii="Times New Roman;serif" w:hAnsi="Times New Roman;serif"/>
          <w:b w:val="false"/>
          <w:i/>
          <w:color w:val="231F20"/>
          <w:sz w:val="20"/>
        </w:rPr>
        <w:t>uncertainties.</w:t>
      </w:r>
      <w:r>
        <w:rPr>
          <w:color w:val="231F20"/>
        </w:rPr>
        <w:t xml:space="preserve"> </w:t>
      </w:r>
      <w:r>
        <w:rPr>
          <w:rFonts w:ascii="Times New Roman;serif" w:hAnsi="Times New Roman;serif"/>
          <w:b w:val="false"/>
          <w:i/>
          <w:color w:val="231F20"/>
          <w:sz w:val="20"/>
        </w:rPr>
        <w:t>Our</w:t>
      </w:r>
      <w:r>
        <w:rPr>
          <w:color w:val="231F20"/>
        </w:rPr>
        <w:t xml:space="preserve"> </w:t>
      </w:r>
      <w:r>
        <w:rPr>
          <w:rFonts w:ascii="Times New Roman;serif" w:hAnsi="Times New Roman;serif"/>
          <w:b w:val="false"/>
          <w:i/>
          <w:color w:val="231F20"/>
          <w:sz w:val="20"/>
        </w:rPr>
        <w:t>actual</w:t>
      </w:r>
      <w:r>
        <w:rPr>
          <w:color w:val="231F20"/>
        </w:rPr>
        <w:t xml:space="preserve"> </w:t>
      </w:r>
      <w:r>
        <w:rPr>
          <w:rFonts w:ascii="Times New Roman;serif" w:hAnsi="Times New Roman;serif"/>
          <w:b w:val="false"/>
          <w:i/>
          <w:color w:val="231F20"/>
          <w:sz w:val="20"/>
        </w:rPr>
        <w:t>results could</w:t>
      </w:r>
      <w:r>
        <w:rPr>
          <w:color w:val="231F20"/>
        </w:rPr>
        <w:t xml:space="preserve"> </w:t>
      </w:r>
      <w:r>
        <w:rPr>
          <w:rFonts w:ascii="Times New Roman;serif" w:hAnsi="Times New Roman;serif"/>
          <w:b w:val="false"/>
          <w:i/>
          <w:color w:val="231F20"/>
          <w:sz w:val="20"/>
        </w:rPr>
        <w:t>differ</w:t>
      </w:r>
      <w:r>
        <w:rPr>
          <w:color w:val="231F20"/>
        </w:rPr>
        <w:t xml:space="preserve"> </w:t>
      </w:r>
      <w:r>
        <w:rPr>
          <w:rFonts w:ascii="Times New Roman;serif" w:hAnsi="Times New Roman;serif"/>
          <w:b w:val="false"/>
          <w:i/>
          <w:color w:val="231F20"/>
          <w:sz w:val="20"/>
        </w:rPr>
        <w:t>materially</w:t>
      </w:r>
      <w:r>
        <w:rPr>
          <w:color w:val="231F20"/>
        </w:rPr>
        <w:t xml:space="preserve"> </w:t>
      </w:r>
      <w:r>
        <w:rPr>
          <w:rFonts w:ascii="Times New Roman;serif" w:hAnsi="Times New Roman;serif"/>
          <w:b w:val="false"/>
          <w:i/>
          <w:color w:val="231F20"/>
          <w:sz w:val="20"/>
        </w:rPr>
        <w:t>from</w:t>
      </w:r>
      <w:r>
        <w:rPr>
          <w:color w:val="231F20"/>
        </w:rPr>
        <w:t xml:space="preserve"> </w:t>
      </w:r>
      <w:r>
        <w:rPr>
          <w:rFonts w:ascii="Times New Roman;serif" w:hAnsi="Times New Roman;serif"/>
          <w:b w:val="false"/>
          <w:i/>
          <w:color w:val="231F20"/>
          <w:sz w:val="20"/>
        </w:rPr>
        <w:t>those</w:t>
      </w:r>
      <w:r>
        <w:rPr>
          <w:color w:val="231F20"/>
        </w:rPr>
        <w:t xml:space="preserve"> </w:t>
      </w:r>
      <w:r>
        <w:rPr>
          <w:rFonts w:ascii="Times New Roman;serif" w:hAnsi="Times New Roman;serif"/>
          <w:b w:val="false"/>
          <w:i/>
          <w:color w:val="231F20"/>
          <w:sz w:val="20"/>
        </w:rPr>
        <w:t>discussed</w:t>
      </w:r>
      <w:r>
        <w:rPr>
          <w:color w:val="231F20"/>
        </w:rPr>
        <w:t xml:space="preserve"> </w:t>
      </w:r>
      <w:r>
        <w:rPr>
          <w:rFonts w:ascii="Times New Roman;serif" w:hAnsi="Times New Roman;serif"/>
          <w:b w:val="false"/>
          <w:i/>
          <w:color w:val="231F20"/>
          <w:sz w:val="20"/>
        </w:rPr>
        <w:t>in these</w:t>
      </w:r>
      <w:r>
        <w:rPr>
          <w:color w:val="231F20"/>
        </w:rPr>
        <w:t xml:space="preserve"> </w:t>
      </w:r>
      <w:r>
        <w:rPr>
          <w:rFonts w:ascii="Times New Roman;serif" w:hAnsi="Times New Roman;serif"/>
          <w:b w:val="false"/>
          <w:i/>
          <w:color w:val="231F20"/>
          <w:sz w:val="20"/>
        </w:rPr>
        <w:t>forward-looking</w:t>
      </w:r>
      <w:r>
        <w:rPr>
          <w:color w:val="231F20"/>
        </w:rPr>
        <w:t xml:space="preserve"> </w:t>
      </w:r>
      <w:r>
        <w:rPr>
          <w:rFonts w:ascii="Times New Roman;serif" w:hAnsi="Times New Roman;serif"/>
          <w:b w:val="false"/>
          <w:i/>
          <w:color w:val="231F20"/>
          <w:sz w:val="20"/>
        </w:rPr>
        <w:t>statements.</w:t>
      </w:r>
      <w:r>
        <w:rPr>
          <w:color w:val="231F20"/>
        </w:rPr>
        <w:t xml:space="preserve"> </w:t>
      </w:r>
      <w:r>
        <w:rPr>
          <w:rFonts w:ascii="Times New Roman;serif" w:hAnsi="Times New Roman;serif"/>
          <w:b w:val="false"/>
          <w:i/>
          <w:color w:val="231F20"/>
          <w:sz w:val="20"/>
        </w:rPr>
        <w:t>Factors</w:t>
      </w:r>
      <w:r>
        <w:rPr>
          <w:color w:val="231F20"/>
        </w:rPr>
        <w:t xml:space="preserve"> </w:t>
      </w:r>
      <w:r>
        <w:rPr>
          <w:rFonts w:ascii="Times New Roman;serif" w:hAnsi="Times New Roman;serif"/>
          <w:b w:val="false"/>
          <w:i/>
          <w:color w:val="231F20"/>
          <w:sz w:val="20"/>
        </w:rPr>
        <w:t>that</w:t>
      </w:r>
      <w:r>
        <w:rPr>
          <w:color w:val="231F20"/>
        </w:rPr>
        <w:t xml:space="preserve"> </w:t>
      </w:r>
      <w:r>
        <w:rPr>
          <w:rFonts w:ascii="Times New Roman;serif" w:hAnsi="Times New Roman;serif"/>
          <w:b w:val="false"/>
          <w:i/>
          <w:color w:val="231F20"/>
          <w:sz w:val="20"/>
        </w:rPr>
        <w:t>could</w:t>
      </w:r>
      <w:r>
        <w:rPr>
          <w:color w:val="231F20"/>
        </w:rPr>
        <w:t xml:space="preserve"> </w:t>
      </w:r>
      <w:r>
        <w:rPr>
          <w:rFonts w:ascii="Times New Roman;serif" w:hAnsi="Times New Roman;serif"/>
          <w:b w:val="false"/>
          <w:i/>
          <w:color w:val="231F20"/>
          <w:sz w:val="20"/>
        </w:rPr>
        <w:t>cause</w:t>
      </w:r>
      <w:r>
        <w:rPr>
          <w:color w:val="231F20"/>
        </w:rPr>
        <w:t xml:space="preserve"> </w:t>
      </w:r>
      <w:r>
        <w:rPr>
          <w:rFonts w:ascii="Times New Roman;serif" w:hAnsi="Times New Roman;serif"/>
          <w:b w:val="false"/>
          <w:i/>
          <w:color w:val="231F20"/>
          <w:sz w:val="20"/>
        </w:rPr>
        <w:t>or contribute</w:t>
      </w:r>
      <w:r>
        <w:rPr>
          <w:color w:val="231F20"/>
        </w:rPr>
        <w:t xml:space="preserve"> </w:t>
      </w:r>
      <w:r>
        <w:rPr>
          <w:rFonts w:ascii="Times New Roman;serif" w:hAnsi="Times New Roman;serif"/>
          <w:b w:val="false"/>
          <w:i/>
          <w:color w:val="231F20"/>
          <w:sz w:val="20"/>
        </w:rPr>
        <w:t>to</w:t>
      </w:r>
      <w:r>
        <w:rPr>
          <w:color w:val="231F20"/>
        </w:rPr>
        <w:t xml:space="preserve"> </w:t>
      </w:r>
      <w:r>
        <w:rPr>
          <w:rFonts w:ascii="Times New Roman;serif" w:hAnsi="Times New Roman;serif"/>
          <w:b w:val="false"/>
          <w:i/>
          <w:color w:val="231F20"/>
          <w:sz w:val="20"/>
        </w:rPr>
        <w:t>such</w:t>
      </w:r>
      <w:r>
        <w:rPr>
          <w:color w:val="231F20"/>
        </w:rPr>
        <w:t xml:space="preserve"> </w:t>
      </w:r>
      <w:r>
        <w:rPr>
          <w:rFonts w:ascii="Times New Roman;serif" w:hAnsi="Times New Roman;serif"/>
          <w:b w:val="false"/>
          <w:i/>
          <w:color w:val="231F20"/>
          <w:sz w:val="20"/>
        </w:rPr>
        <w:t>differences</w:t>
      </w:r>
      <w:r>
        <w:rPr>
          <w:color w:val="231F20"/>
        </w:rPr>
        <w:t xml:space="preserve"> </w:t>
      </w:r>
      <w:r>
        <w:rPr>
          <w:rFonts w:ascii="Times New Roman;serif" w:hAnsi="Times New Roman;serif"/>
          <w:b w:val="false"/>
          <w:i/>
          <w:color w:val="231F20"/>
          <w:sz w:val="20"/>
        </w:rPr>
        <w:t>include,</w:t>
      </w:r>
      <w:r>
        <w:rPr>
          <w:color w:val="231F20"/>
        </w:rPr>
        <w:t xml:space="preserve"> </w:t>
      </w:r>
      <w:r>
        <w:rPr>
          <w:rFonts w:ascii="Times New Roman;serif" w:hAnsi="Times New Roman;serif"/>
          <w:b w:val="false"/>
          <w:i/>
          <w:color w:val="231F20"/>
          <w:sz w:val="20"/>
        </w:rPr>
        <w:t>but are not limited</w:t>
      </w:r>
      <w:r>
        <w:rPr>
          <w:color w:val="231F20"/>
        </w:rPr>
        <w:t xml:space="preserve"> </w:t>
      </w:r>
      <w:r>
        <w:rPr>
          <w:rFonts w:ascii="Times New Roman;serif" w:hAnsi="Times New Roman;serif"/>
          <w:b w:val="false"/>
          <w:i/>
          <w:color w:val="231F20"/>
          <w:sz w:val="20"/>
        </w:rPr>
        <w:t>to, those</w:t>
      </w:r>
      <w:r>
        <w:rPr>
          <w:color w:val="231F20"/>
        </w:rPr>
        <w:t xml:space="preserve"> </w:t>
      </w:r>
      <w:r>
        <w:rPr>
          <w:rFonts w:ascii="Times New Roman;serif" w:hAnsi="Times New Roman;serif"/>
          <w:b w:val="false"/>
          <w:i/>
          <w:color w:val="231F20"/>
          <w:sz w:val="20"/>
        </w:rPr>
        <w:t>identified</w:t>
      </w:r>
      <w:r>
        <w:rPr>
          <w:color w:val="231F20"/>
        </w:rPr>
        <w:t xml:space="preserve"> </w:t>
      </w:r>
      <w:r>
        <w:rPr>
          <w:rFonts w:ascii="Times New Roman;serif" w:hAnsi="Times New Roman;serif"/>
          <w:b w:val="false"/>
          <w:i/>
          <w:color w:val="231F20"/>
          <w:sz w:val="20"/>
        </w:rPr>
        <w:t>below and those</w:t>
      </w:r>
      <w:r>
        <w:rPr>
          <w:color w:val="231F20"/>
        </w:rPr>
        <w:t xml:space="preserve"> </w:t>
      </w:r>
      <w:r>
        <w:rPr>
          <w:rFonts w:ascii="Times New Roman;serif" w:hAnsi="Times New Roman;serif"/>
          <w:b w:val="false"/>
          <w:i/>
          <w:color w:val="231F20"/>
          <w:sz w:val="20"/>
        </w:rPr>
        <w:t>discussed</w:t>
      </w:r>
      <w:r>
        <w:rPr>
          <w:color w:val="231F20"/>
        </w:rPr>
        <w:t xml:space="preserve"> </w:t>
      </w:r>
      <w:r>
        <w:rPr>
          <w:rFonts w:ascii="Times New Roman;serif" w:hAnsi="Times New Roman;serif"/>
          <w:b w:val="false"/>
          <w:i/>
          <w:color w:val="231F20"/>
          <w:sz w:val="20"/>
        </w:rPr>
        <w:t>in the section</w:t>
      </w:r>
      <w:r>
        <w:rPr>
          <w:color w:val="231F20"/>
        </w:rPr>
        <w:t xml:space="preserve"> </w:t>
      </w:r>
      <w:r>
        <w:rPr>
          <w:rFonts w:ascii="Times New Roman;serif" w:hAnsi="Times New Roman;serif"/>
          <w:b w:val="false"/>
          <w:i/>
          <w:color w:val="231F20"/>
          <w:sz w:val="20"/>
        </w:rPr>
        <w:t>titled</w:t>
      </w:r>
      <w:r>
        <w:rPr>
          <w:color w:val="231F20"/>
        </w:rPr>
        <w:t xml:space="preserve"> “</w:t>
      </w:r>
      <w:r>
        <w:rPr>
          <w:rFonts w:ascii="Times New Roman;serif" w:hAnsi="Times New Roman;serif"/>
          <w:b w:val="false"/>
          <w:i/>
          <w:color w:val="231F20"/>
          <w:sz w:val="20"/>
        </w:rPr>
        <w:t>Risk Factors”</w:t>
      </w:r>
      <w:r>
        <w:rPr>
          <w:color w:val="231F20"/>
        </w:rPr>
        <w:t xml:space="preserve"> </w:t>
      </w:r>
      <w:r>
        <w:rPr>
          <w:rFonts w:ascii="Times New Roman;serif" w:hAnsi="Times New Roman;serif"/>
          <w:b w:val="false"/>
          <w:i/>
          <w:color w:val="231F20"/>
          <w:sz w:val="20"/>
        </w:rPr>
        <w:t>included</w:t>
      </w:r>
      <w:r>
        <w:rPr>
          <w:color w:val="231F20"/>
        </w:rPr>
        <w:t xml:space="preserve"> </w:t>
      </w:r>
      <w:r>
        <w:rPr>
          <w:rFonts w:ascii="Times New Roman;serif" w:hAnsi="Times New Roman;serif"/>
          <w:b w:val="false"/>
          <w:i/>
          <w:color w:val="231F20"/>
          <w:sz w:val="20"/>
        </w:rPr>
        <w:t>in Part I, Item 1A in this</w:t>
      </w:r>
      <w:r>
        <w:rPr>
          <w:color w:val="231F20"/>
        </w:rPr>
        <w:t xml:space="preserve"> </w:t>
      </w:r>
      <w:r>
        <w:rPr>
          <w:rFonts w:ascii="Times New Roman;serif" w:hAnsi="Times New Roman;serif"/>
          <w:b w:val="false"/>
          <w:i/>
          <w:color w:val="231F20"/>
          <w:sz w:val="20"/>
        </w:rPr>
        <w:t xml:space="preserve">Annual Report on Form 10-K. </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i/>
          <w:color w:val="231F20"/>
          <w:sz w:val="20"/>
        </w:rPr>
      </w:pPr>
      <w:r>
        <w:rPr>
          <w:rFonts w:ascii="Times New Roman;serif" w:hAnsi="Times New Roman;serif"/>
          <w:b w:val="false"/>
          <w:i/>
          <w:color w:val="231F20"/>
          <w:sz w:val="20"/>
        </w:rPr>
        <w:t>A discussion regarding our financial condition and results of operations for the year ended December 31, 2025 compared to the year ended December 31, 2024 is presented below. A discussion regarding our financial condition and results of operations for the year ended December 31, 2024 compared to the year ended December 31, 2023 can be found in part II, Item 7, “Management’s Discussion and Analysis of Financial Condition and Results of Operations” in our Annual Report on Form 10-K filed with the SEC on February 14, 2025.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mission is to innovate, design, and deliver semiconductor-based connectivity solutions that are purpose-built to unleash the full potential of cloud and AI infrastructure.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Building on years of experience with a singular focus on addressing connectivity challenges in data-centric systems, we have developed and deployed our Intelligent Connectivity Platform built from the ground up for cloud and AI infrastructure. Our Intelligent Connectivity Platform is comprised of semiconductor-based, high-speed, mixed-signal connectivity products that integrate a matrix of microcontrollers and sensors, and COSMOS, our software suite, which is embedded in our connectivity products and integrated into our customers’ systems.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Intelligent Connectivity Platform provides our customers with the ability to deploy and operate high-performance cloud and AI infrastructure at scale, addressing an increasingly diverse set of requirements. We provide our connectivity products in various form factors, including Integrated Circuits (“ICs”), boards, and modules.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patented software-defined platform approach delivers critical connectivity performance, enables flexibility and customization, and supports observability and predictive analytics. This approach is designed to efficiently address the data, network, and memory bottlenecks, scalability, and other unique infrastructure requirements of our hyperscaler and system OEM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trusted relationships with the leading hyperscalers and collaboration with data center infrastructure suppliers, our platform is designed to meet our customers’ unique cloud scale requirements. Our COSMOS software suite is foundational to our Intelligent Connectivity Platform and is designed to enable our customers to seamlessly configure, manage, monitor, optimize, troubleshoot, and customize functions in our IC, board, and module 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Today, our connectivity solutions are at the heart of major AI platforms deployed worldwide featuring both commercially available Graphic Processing Units (“GPUs”) and proprietary AI accelerators. We offer our customers four product families across multiple form factors including ICs, boards, and modules, shipping millions of devices across leading hyperscalers. Our products, which include Aries PCIe®/CXL® Smart DSP Retimers, Aries PCIe®/CXL® Smart Cable Modules™, Taurus Ethernet Smart Cable Modules™, Leo CXL Memory Connectivity Controllers, and Scorpio Smart Fabric Switches, are built upon industry standard connectivity protocols such as Peripheral Component Interconnect Express (“PCIe”), Ethernet, and Compute Express Link (“CXL”), to address the growing demand for purpose-built connectivity solutions that solve critical data, network, and memory bottlenecks inherent in cloud and AI infrastructure.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created and commercialized first-to-market PCIe, Ethernet, and CXL products. We have become a trusted partner and a proven supplier to our hyperscaler and system OEM customers. We have experienced strong growth since the commercial launch of Aries in 2020. Our revenue grew from $34.8 million in 2021, $79.9 million in 2022, $115.8 million in 2023, $396.3 million in 2024, and to $852.5 million in 2025, driven by a sizable increase in demand for our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 xml:space="preserve">Summary of Financial Highlights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for the year ended December 31, 2025, increased by 115% compared to the same period in 2024, primarily due to an increase in overall unit shipments driven by higher demand for our Aries, Scorpio, and Taurus products, as well as higher overall average selling prices resulting from an increased mix of hardware modules and Scorpio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margin decreased 70 bps to 75.7% for the year ended December 31, 2025 from 76.4% for the same period in 2024, primarily driven by product mix as we shipped more hardware modules.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Operating expenses increased by $53.1 million or 13%, for the year ended December 31, 2025 compared to the same period in 2024, primarily driven by a $75.6 million increase in personnel-related expenses resulting from a 75% increase in average headcount, a $31.4 million increase in expenses related to our R&amp;D initiatives, a $10.8 million increase in other operating costs to support our business growth including expenses associated with additional office space, a $5.1 million increase in professional services fees primarily associated</w:t>
      </w:r>
      <w:r>
        <w:rPr>
          <w:color w:val="231F20"/>
        </w:rPr>
        <w:t xml:space="preserve"> </w:t>
      </w:r>
      <w:r>
        <w:rPr>
          <w:rFonts w:ascii="Times New Roman;serif" w:hAnsi="Times New Roman;serif"/>
          <w:b w:val="false"/>
          <w:color w:val="231F20"/>
          <w:sz w:val="20"/>
        </w:rPr>
        <w:t>with the continued development of our public company infrastructure</w:t>
      </w:r>
      <w:r>
        <w:rPr>
          <w:rFonts w:ascii="Times New Roman;serif" w:hAnsi="Times New Roman;serif"/>
          <w:b w:val="false"/>
          <w:color w:val="000000"/>
          <w:sz w:val="20"/>
        </w:rPr>
        <w:t xml:space="preserve">, and a $2.2 million increase in depreciation and amortization expenses. The increase was partially offset by a $74.8 million decrease in non-cash stock-based compensation expense, which resulted primarily from the recognition of time-based vesting of RSUs and the satisfaction of the liquidity event vesting condition in connection with our initial public offering (“IPO”) in the prior period.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was $219.1 million for the year ended December 31, 2025 compared to a net loss of $83.4 million for the year ended December 31, 2024, representing a $302.6 million year-over-year increase.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231F20"/>
          <w:sz w:val="20"/>
        </w:rPr>
        <w:t>Key</w:t>
      </w:r>
      <w:r>
        <w:rPr>
          <w:color w:val="231F20"/>
        </w:rPr>
        <w:t xml:space="preserve"> </w:t>
      </w:r>
      <w:r>
        <w:rPr>
          <w:rFonts w:ascii="Times New Roman;serif" w:hAnsi="Times New Roman;serif"/>
          <w:b/>
          <w:color w:val="231F20"/>
          <w:sz w:val="20"/>
        </w:rPr>
        <w:t>Components of Results</w:t>
      </w:r>
      <w:r>
        <w:rPr>
          <w:color w:val="231F20"/>
        </w:rPr>
        <w:t xml:space="preserve"> </w:t>
      </w:r>
      <w:r>
        <w:rPr>
          <w:rFonts w:ascii="Times New Roman;serif" w:hAnsi="Times New Roman;serif"/>
          <w:b/>
          <w:color w:val="231F20"/>
          <w:sz w:val="20"/>
        </w:rPr>
        <w:t>of Operations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Revenue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vast majority of our revenue consists of product sales with an immaterial portion derived from engineering services. Product sales consist primarily of shipments of our Intelligent Connectivity Platform solutions. Engineering services revenue consists of engineering fees associated with customer-defined engineering services. </w:t>
      </w:r>
    </w:p>
    <w:p>
      <w:pPr>
        <w:pStyle w:val="TextBody"/>
        <w:bidi w:val="0"/>
        <w:spacing w:lineRule="auto" w:line="288" w:before="120" w:after="120"/>
        <w:ind w:left="0" w:right="0" w:firstLine="450"/>
        <w:jc w:val="both"/>
        <w:rPr/>
      </w:pPr>
      <w:r>
        <w:rPr>
          <w:rFonts w:ascii="Times New Roman;serif" w:hAnsi="Times New Roman;serif"/>
          <w:b w:val="false"/>
          <w:color w:val="231F20"/>
          <w:sz w:val="20"/>
        </w:rPr>
        <w:t>For product</w:t>
      </w:r>
      <w:r>
        <w:rPr>
          <w:color w:val="231F20"/>
        </w:rPr>
        <w:t xml:space="preserve"> </w:t>
      </w: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we transact</w:t>
      </w:r>
      <w:r>
        <w:rPr>
          <w:color w:val="231F20"/>
        </w:rPr>
        <w:t xml:space="preserve"> </w:t>
      </w:r>
      <w:r>
        <w:rPr>
          <w:rFonts w:ascii="Times New Roman;serif" w:hAnsi="Times New Roman;serif"/>
          <w:b w:val="false"/>
          <w:color w:val="231F20"/>
          <w:sz w:val="20"/>
        </w:rPr>
        <w:t>with customers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pursuant</w:t>
      </w:r>
      <w:r>
        <w:rPr>
          <w:color w:val="231F20"/>
        </w:rPr>
        <w:t xml:space="preserve"> </w:t>
      </w:r>
      <w:r>
        <w:rPr>
          <w:rFonts w:ascii="Times New Roman;serif" w:hAnsi="Times New Roman;serif"/>
          <w:b w:val="false"/>
          <w:color w:val="231F20"/>
          <w:sz w:val="20"/>
        </w:rPr>
        <w:t>to standard</w:t>
      </w:r>
      <w:r>
        <w:rPr>
          <w:color w:val="231F20"/>
        </w:rPr>
        <w:t xml:space="preserve"> </w:t>
      </w:r>
      <w:r>
        <w:rPr>
          <w:rFonts w:ascii="Times New Roman;serif" w:hAnsi="Times New Roman;serif"/>
          <w:b w:val="false"/>
          <w:color w:val="231F20"/>
          <w:sz w:val="20"/>
        </w:rPr>
        <w:t>purchase orders for delivery</w:t>
      </w:r>
      <w:r>
        <w:rPr>
          <w:color w:val="231F20"/>
        </w:rPr>
        <w:t xml:space="preserve"> </w:t>
      </w:r>
      <w:r>
        <w:rPr>
          <w:rFonts w:ascii="Times New Roman;serif" w:hAnsi="Times New Roman;serif"/>
          <w:b w:val="false"/>
          <w:color w:val="231F20"/>
          <w:sz w:val="20"/>
        </w:rPr>
        <w:t>of products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generally</w:t>
      </w:r>
      <w:r>
        <w:rPr>
          <w:color w:val="231F20"/>
        </w:rPr>
        <w:t xml:space="preserve"> </w:t>
      </w:r>
      <w:r>
        <w:rPr>
          <w:rFonts w:ascii="Times New Roman;serif" w:hAnsi="Times New Roman;serif"/>
          <w:b w:val="false"/>
          <w:color w:val="231F20"/>
          <w:sz w:val="20"/>
        </w:rPr>
        <w:t>do</w:t>
      </w:r>
      <w:r>
        <w:rPr>
          <w:color w:val="231F20"/>
        </w:rPr>
        <w:t xml:space="preserve"> </w:t>
      </w:r>
      <w:r>
        <w:rPr>
          <w:rFonts w:ascii="Times New Roman;serif" w:hAnsi="Times New Roman;serif"/>
          <w:b w:val="false"/>
          <w:color w:val="231F20"/>
          <w:sz w:val="20"/>
        </w:rPr>
        <w:t>not</w:t>
      </w:r>
      <w:r>
        <w:rPr>
          <w:color w:val="231F20"/>
        </w:rPr>
        <w:t xml:space="preserve"> </w:t>
      </w:r>
      <w:r>
        <w:rPr>
          <w:rFonts w:ascii="Times New Roman;serif" w:hAnsi="Times New Roman;serif"/>
          <w:b w:val="false"/>
          <w:color w:val="231F20"/>
          <w:sz w:val="20"/>
        </w:rPr>
        <w:t>allow</w:t>
      </w:r>
      <w:r>
        <w:rPr>
          <w:color w:val="231F20"/>
        </w:rPr>
        <w:t xml:space="preserve"> </w:t>
      </w:r>
      <w:r>
        <w:rPr>
          <w:rFonts w:ascii="Times New Roman;serif" w:hAnsi="Times New Roman;serif"/>
          <w:b w:val="false"/>
          <w:color w:val="231F20"/>
          <w:sz w:val="20"/>
        </w:rPr>
        <w:t>customers</w:t>
      </w:r>
      <w:r>
        <w:rPr>
          <w:color w:val="231F20"/>
        </w:rPr>
        <w:t xml:space="preserve"> </w:t>
      </w:r>
      <w:r>
        <w:rPr>
          <w:rFonts w:ascii="Times New Roman;serif" w:hAnsi="Times New Roman;serif"/>
          <w:b w:val="false"/>
          <w:color w:val="231F20"/>
          <w:sz w:val="20"/>
        </w:rPr>
        <w:t>to cancel</w:t>
      </w:r>
      <w:r>
        <w:rPr>
          <w:color w:val="231F20"/>
        </w:rPr>
        <w:t xml:space="preserve"> </w:t>
      </w:r>
      <w:r>
        <w:rPr>
          <w:rFonts w:ascii="Times New Roman;serif" w:hAnsi="Times New Roman;serif"/>
          <w:b w:val="false"/>
          <w:color w:val="231F20"/>
          <w:sz w:val="20"/>
        </w:rPr>
        <w:t>or change</w:t>
      </w:r>
      <w:r>
        <w:rPr>
          <w:color w:val="231F20"/>
        </w:rPr>
        <w:t xml:space="preserve"> </w:t>
      </w:r>
      <w:r>
        <w:rPr>
          <w:rFonts w:ascii="Times New Roman;serif" w:hAnsi="Times New Roman;serif"/>
          <w:b w:val="false"/>
          <w:color w:val="231F20"/>
          <w:sz w:val="20"/>
        </w:rPr>
        <w:t>purchase</w:t>
      </w:r>
      <w:r>
        <w:rPr>
          <w:color w:val="231F20"/>
        </w:rPr>
        <w:t xml:space="preserve"> </w:t>
      </w:r>
      <w:r>
        <w:rPr>
          <w:rFonts w:ascii="Times New Roman;serif" w:hAnsi="Times New Roman;serif"/>
          <w:b w:val="false"/>
          <w:color w:val="231F20"/>
          <w:sz w:val="20"/>
        </w:rPr>
        <w:t>orders</w:t>
      </w:r>
      <w:r>
        <w:rPr>
          <w:color w:val="231F20"/>
        </w:rPr>
        <w:t xml:space="preserve"> </w:t>
      </w:r>
      <w:r>
        <w:rPr>
          <w:rFonts w:ascii="Times New Roman;serif" w:hAnsi="Times New Roman;serif"/>
          <w:b w:val="false"/>
          <w:color w:val="231F20"/>
          <w:sz w:val="20"/>
        </w:rPr>
        <w:t>within</w:t>
      </w:r>
      <w:r>
        <w:rPr>
          <w:color w:val="231F20"/>
        </w:rPr>
        <w:t xml:space="preserve"> </w:t>
      </w:r>
      <w:r>
        <w:rPr>
          <w:rFonts w:ascii="Times New Roman;serif" w:hAnsi="Times New Roman;serif"/>
          <w:b w:val="false"/>
          <w:color w:val="231F20"/>
          <w:sz w:val="20"/>
        </w:rPr>
        <w:t>limited</w:t>
      </w:r>
      <w:r>
        <w:rPr>
          <w:color w:val="231F20"/>
        </w:rPr>
        <w:t xml:space="preserve"> </w:t>
      </w:r>
      <w:r>
        <w:rPr>
          <w:rFonts w:ascii="Times New Roman;serif" w:hAnsi="Times New Roman;serif"/>
          <w:b w:val="false"/>
          <w:color w:val="231F20"/>
          <w:sz w:val="20"/>
        </w:rPr>
        <w:t>notice</w:t>
      </w:r>
      <w:r>
        <w:rPr>
          <w:color w:val="231F20"/>
        </w:rPr>
        <w:t xml:space="preserve"> </w:t>
      </w:r>
      <w:r>
        <w:rPr>
          <w:rFonts w:ascii="Times New Roman;serif" w:hAnsi="Times New Roman;serif"/>
          <w:b w:val="false"/>
          <w:color w:val="231F20"/>
          <w:sz w:val="20"/>
        </w:rPr>
        <w:t>periods. We</w:t>
      </w:r>
      <w:r>
        <w:rPr>
          <w:color w:val="231F20"/>
        </w:rPr>
        <w:t xml:space="preserve"> </w:t>
      </w:r>
      <w:r>
        <w:rPr>
          <w:rFonts w:ascii="Times New Roman;serif" w:hAnsi="Times New Roman;serif"/>
          <w:b w:val="false"/>
          <w:color w:val="231F20"/>
          <w:sz w:val="20"/>
        </w:rPr>
        <w:t>recognize</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when</w:t>
      </w:r>
      <w:r>
        <w:rPr>
          <w:color w:val="231F20"/>
        </w:rPr>
        <w:t xml:space="preserve"> </w:t>
      </w:r>
      <w:r>
        <w:rPr>
          <w:rFonts w:ascii="Times New Roman;serif" w:hAnsi="Times New Roman;serif"/>
          <w:b w:val="false"/>
          <w:color w:val="231F20"/>
          <w:sz w:val="20"/>
        </w:rPr>
        <w:t>control</w:t>
      </w:r>
      <w:r>
        <w:rPr>
          <w:color w:val="231F20"/>
        </w:rPr>
        <w:t xml:space="preserve"> </w:t>
      </w:r>
      <w:r>
        <w:rPr>
          <w:rFonts w:ascii="Times New Roman;serif" w:hAnsi="Times New Roman;serif"/>
          <w:b w:val="false"/>
          <w:color w:val="231F20"/>
          <w:sz w:val="20"/>
        </w:rPr>
        <w:t>transfers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customer,</w:t>
      </w:r>
      <w:r>
        <w:rPr>
          <w:color w:val="231F20"/>
        </w:rPr>
        <w:t xml:space="preserve"> </w:t>
      </w:r>
      <w:r>
        <w:rPr>
          <w:rFonts w:ascii="Times New Roman;serif" w:hAnsi="Times New Roman;serif"/>
          <w:b w:val="false"/>
          <w:color w:val="231F20"/>
          <w:sz w:val="20"/>
        </w:rPr>
        <w:t>generally</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time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shipment from</w:t>
      </w:r>
      <w:r>
        <w:rPr>
          <w:color w:val="231F20"/>
        </w:rPr>
        <w:t xml:space="preserve"> </w:t>
      </w:r>
      <w:r>
        <w:rPr>
          <w:rFonts w:ascii="Times New Roman;serif" w:hAnsi="Times New Roman;serif"/>
          <w:b w:val="false"/>
          <w:color w:val="231F20"/>
          <w:sz w:val="20"/>
        </w:rPr>
        <w:t>our facilities,</w:t>
      </w:r>
      <w:r>
        <w:rPr>
          <w:color w:val="231F20"/>
        </w:rPr>
        <w:t xml:space="preserve"> </w:t>
      </w:r>
      <w:r>
        <w:rPr>
          <w:rFonts w:ascii="Times New Roman;serif" w:hAnsi="Times New Roman;serif"/>
          <w:b w:val="false"/>
          <w:color w:val="231F20"/>
          <w:sz w:val="20"/>
        </w:rPr>
        <w:t>in an amount</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reflects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consideration</w:t>
      </w:r>
      <w:r>
        <w:rPr>
          <w:color w:val="231F20"/>
        </w:rPr>
        <w:t xml:space="preserve"> </w:t>
      </w:r>
      <w:r>
        <w:rPr>
          <w:rFonts w:ascii="Times New Roman;serif" w:hAnsi="Times New Roman;serif"/>
          <w:b w:val="false"/>
          <w:color w:val="231F20"/>
          <w:sz w:val="20"/>
        </w:rPr>
        <w:t>we expect</w:t>
      </w:r>
      <w:r>
        <w:rPr>
          <w:color w:val="231F20"/>
        </w:rPr>
        <w:t xml:space="preserve"> </w:t>
      </w:r>
      <w:r>
        <w:rPr>
          <w:rFonts w:ascii="Times New Roman;serif" w:hAnsi="Times New Roman;serif"/>
          <w:b w:val="false"/>
          <w:color w:val="231F20"/>
          <w:sz w:val="20"/>
        </w:rPr>
        <w:t>to receive</w:t>
      </w:r>
      <w:r>
        <w:rPr>
          <w:color w:val="231F20"/>
        </w:rPr>
        <w:t xml:space="preserve"> </w:t>
      </w:r>
      <w:r>
        <w:rPr>
          <w:rFonts w:ascii="Times New Roman;serif" w:hAnsi="Times New Roman;serif"/>
          <w:b w:val="false"/>
          <w:color w:val="231F20"/>
          <w:sz w:val="20"/>
        </w:rPr>
        <w:t>in exchange</w:t>
      </w:r>
      <w:r>
        <w:rPr>
          <w:color w:val="231F20"/>
        </w:rPr>
        <w:t xml:space="preserve"> </w:t>
      </w:r>
      <w:r>
        <w:rPr>
          <w:rFonts w:ascii="Times New Roman;serif" w:hAnsi="Times New Roman;serif"/>
          <w:b w:val="false"/>
          <w:color w:val="231F20"/>
          <w:sz w:val="20"/>
        </w:rPr>
        <w:t>for those goods, net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estimated</w:t>
      </w:r>
      <w:r>
        <w:rPr>
          <w:color w:val="231F20"/>
        </w:rPr>
        <w:t xml:space="preserve"> </w:t>
      </w: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returns,</w:t>
      </w:r>
      <w:r>
        <w:rPr>
          <w:color w:val="231F20"/>
        </w:rPr>
        <w:t xml:space="preserve"> </w:t>
      </w:r>
      <w:r>
        <w:rPr>
          <w:rFonts w:ascii="Times New Roman;serif" w:hAnsi="Times New Roman;serif"/>
          <w:b w:val="false"/>
          <w:color w:val="231F20"/>
          <w:sz w:val="20"/>
        </w:rPr>
        <w:t>distributor</w:t>
      </w:r>
      <w:r>
        <w:rPr>
          <w:color w:val="231F20"/>
        </w:rPr>
        <w:t xml:space="preserve"> </w:t>
      </w:r>
      <w:r>
        <w:rPr>
          <w:rFonts w:ascii="Times New Roman;serif" w:hAnsi="Times New Roman;serif"/>
          <w:b w:val="false"/>
          <w:color w:val="231F20"/>
          <w:sz w:val="20"/>
        </w:rPr>
        <w:t>price</w:t>
      </w:r>
      <w:r>
        <w:rPr>
          <w:color w:val="231F20"/>
        </w:rPr>
        <w:t xml:space="preserve"> </w:t>
      </w:r>
      <w:r>
        <w:rPr>
          <w:rFonts w:ascii="Times New Roman;serif" w:hAnsi="Times New Roman;serif"/>
          <w:b w:val="false"/>
          <w:color w:val="231F20"/>
          <w:sz w:val="20"/>
        </w:rPr>
        <w:t>adjustments,</w:t>
      </w:r>
      <w:r>
        <w:rPr>
          <w:color w:val="231F20"/>
        </w:rPr>
        <w:t xml:space="preserve"> </w:t>
      </w:r>
      <w:r>
        <w:rPr>
          <w:rFonts w:ascii="Times New Roman;serif" w:hAnsi="Times New Roman;serif"/>
          <w:b w:val="false"/>
          <w:color w:val="231F20"/>
          <w:sz w:val="20"/>
        </w:rPr>
        <w:t>rebates,</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customer</w:t>
      </w:r>
      <w:r>
        <w:rPr>
          <w:color w:val="231F20"/>
        </w:rPr>
        <w:t xml:space="preserve"> </w:t>
      </w:r>
      <w:r>
        <w:rPr>
          <w:rFonts w:ascii="Times New Roman;serif" w:hAnsi="Times New Roman;serif"/>
          <w:b w:val="false"/>
          <w:color w:val="231F20"/>
          <w:sz w:val="20"/>
        </w:rPr>
        <w:t>incentives.</w:t>
      </w:r>
      <w:r>
        <w:rPr>
          <w:color w:val="231F20"/>
        </w:rPr>
        <w:t xml:space="preserve"> </w:t>
      </w:r>
      <w:r>
        <w:rPr>
          <w:rFonts w:ascii="Times New Roman;serif" w:hAnsi="Times New Roman;serif"/>
          <w:b w:val="false"/>
          <w:color w:val="231F20"/>
          <w:sz w:val="20"/>
        </w:rPr>
        <w:t>Revenue is also</w:t>
      </w:r>
      <w:r>
        <w:rPr>
          <w:color w:val="231F20"/>
        </w:rPr>
        <w:t xml:space="preserve"> </w:t>
      </w:r>
      <w:r>
        <w:rPr>
          <w:rFonts w:ascii="Times New Roman;serif" w:hAnsi="Times New Roman;serif"/>
          <w:b w:val="false"/>
          <w:color w:val="231F20"/>
          <w:sz w:val="20"/>
        </w:rPr>
        <w:t>recognized</w:t>
      </w:r>
      <w:r>
        <w:rPr>
          <w:color w:val="231F20"/>
        </w:rPr>
        <w:t xml:space="preserve"> </w:t>
      </w: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of any taxes</w:t>
      </w:r>
      <w:r>
        <w:rPr>
          <w:color w:val="231F20"/>
        </w:rPr>
        <w:t xml:space="preserve"> </w:t>
      </w:r>
      <w:r>
        <w:rPr>
          <w:rFonts w:ascii="Times New Roman;serif" w:hAnsi="Times New Roman;serif"/>
          <w:b w:val="false"/>
          <w:color w:val="231F20"/>
          <w:sz w:val="20"/>
        </w:rPr>
        <w:t>collected,</w:t>
      </w:r>
      <w:r>
        <w:rPr>
          <w:color w:val="231F20"/>
        </w:rPr>
        <w:t xml:space="preserve"> </w:t>
      </w:r>
      <w:r>
        <w:rPr>
          <w:rFonts w:ascii="Times New Roman;serif" w:hAnsi="Times New Roman;serif"/>
          <w:b w:val="false"/>
          <w:color w:val="231F20"/>
          <w:sz w:val="20"/>
        </w:rPr>
        <w:t>which are</w:t>
      </w:r>
      <w:r>
        <w:rPr>
          <w:color w:val="231F20"/>
        </w:rPr>
        <w:t xml:space="preserve"> </w:t>
      </w:r>
      <w:r>
        <w:rPr>
          <w:rFonts w:ascii="Times New Roman;serif" w:hAnsi="Times New Roman;serif"/>
          <w:b w:val="false"/>
          <w:color w:val="231F20"/>
          <w:sz w:val="20"/>
        </w:rPr>
        <w:t>subsequently</w:t>
      </w:r>
      <w:r>
        <w:rPr>
          <w:color w:val="231F20"/>
        </w:rPr>
        <w:t xml:space="preserve"> </w:t>
      </w:r>
      <w:r>
        <w:rPr>
          <w:rFonts w:ascii="Times New Roman;serif" w:hAnsi="Times New Roman;serif"/>
          <w:b w:val="false"/>
          <w:color w:val="231F20"/>
          <w:sz w:val="20"/>
        </w:rPr>
        <w:t>remitted</w:t>
      </w:r>
      <w:r>
        <w:rPr>
          <w:color w:val="231F20"/>
        </w:rPr>
        <w:t xml:space="preserve"> </w:t>
      </w:r>
      <w:r>
        <w:rPr>
          <w:rFonts w:ascii="Times New Roman;serif" w:hAnsi="Times New Roman;serif"/>
          <w:b w:val="false"/>
          <w:color w:val="231F20"/>
          <w:sz w:val="20"/>
        </w:rPr>
        <w:t>to governmental</w:t>
      </w:r>
      <w:r>
        <w:rPr>
          <w:color w:val="231F20"/>
        </w:rPr>
        <w:t xml:space="preserve"> </w:t>
      </w:r>
      <w:r>
        <w:rPr>
          <w:rFonts w:ascii="Times New Roman;serif" w:hAnsi="Times New Roman;serif"/>
          <w:b w:val="false"/>
          <w:color w:val="231F20"/>
          <w:sz w:val="20"/>
        </w:rPr>
        <w:t>authorities.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Cost of Revenue</w:t>
      </w:r>
    </w:p>
    <w:p>
      <w:pPr>
        <w:pStyle w:val="TextBody"/>
        <w:bidi w:val="0"/>
        <w:spacing w:lineRule="auto" w:line="288" w:before="120" w:after="120"/>
        <w:ind w:left="0" w:right="0" w:firstLine="450"/>
        <w:jc w:val="both"/>
        <w:rPr/>
      </w:pPr>
      <w:r>
        <w:rPr>
          <w:rFonts w:ascii="Times New Roman;serif" w:hAnsi="Times New Roman;serif"/>
          <w:b w:val="false"/>
          <w:color w:val="000000"/>
          <w:sz w:val="20"/>
        </w:rPr>
        <w:t xml:space="preserve">Cost of revenue includes cost of product sales and cost of engineering services. Cost of product sales includes the cost of materials, such as wafers processed by third-party foundries, costs associated with packaging, assembly, shipping, depreciation of equipment associated with manufacturing, cost of logistics and quality assurance, warranty cost, amortization of capitalized production equipment, </w:t>
      </w:r>
      <w:r>
        <w:rPr>
          <w:rFonts w:ascii="Times New Roman;serif" w:hAnsi="Times New Roman;serif"/>
          <w:b w:val="false"/>
          <w:color w:val="231F20"/>
          <w:sz w:val="20"/>
        </w:rPr>
        <w:t xml:space="preserve">royalties on our production products, </w:t>
      </w:r>
      <w:r>
        <w:rPr>
          <w:rFonts w:ascii="Times New Roman;serif" w:hAnsi="Times New Roman;serif"/>
          <w:b w:val="false"/>
          <w:color w:val="000000"/>
          <w:sz w:val="20"/>
        </w:rPr>
        <w:t>personnel-related costs including salaries, non-cash stock-based compensation, employee benefits, write-down of inventories, and allocation of general corporate expenses.</w:t>
      </w:r>
    </w:p>
    <w:p>
      <w:pPr>
        <w:pStyle w:val="TextBody"/>
        <w:bidi w:val="0"/>
        <w:spacing w:lineRule="auto" w:line="288" w:before="120" w:after="120"/>
        <w:ind w:left="0" w:right="0" w:firstLine="450"/>
        <w:jc w:val="both"/>
        <w:rPr/>
      </w:pPr>
      <w:r>
        <w:rPr>
          <w:rFonts w:ascii="Times New Roman;serif" w:hAnsi="Times New Roman;serif"/>
          <w:b w:val="false"/>
          <w:color w:val="000000"/>
          <w:sz w:val="20"/>
        </w:rPr>
        <w:t xml:space="preserve">We capitalize the costs of production equipment, which includes mask cost with alternative future use, and amortize these costs on a straight-line basis over the useful lives of the production equipment and include them in cost of revenue. To determine if production equipment has alternative future use or benefits, we evaluate the risks associated with developing new technologies and capabilities, and the related risks associated with entering new markets. </w:t>
      </w:r>
      <w:r>
        <w:rPr>
          <w:rFonts w:ascii="Times New Roman;serif" w:hAnsi="Times New Roman;serif"/>
          <w:b w:val="false"/>
          <w:color w:val="231F20"/>
          <w:sz w:val="20"/>
        </w:rPr>
        <w:t>Production equipment that do not meet the criteria for capitalization are expensed as research and development costs.</w:t>
      </w:r>
    </w:p>
    <w:p>
      <w:pPr>
        <w:pStyle w:val="TextBody"/>
        <w:bidi w:val="0"/>
        <w:spacing w:lineRule="auto" w:line="288" w:before="120" w:after="120"/>
        <w:ind w:left="0" w:right="0" w:firstLine="450"/>
        <w:jc w:val="both"/>
        <w:rPr/>
      </w:pPr>
      <w:r>
        <w:rPr>
          <w:rFonts w:ascii="Times New Roman;serif" w:hAnsi="Times New Roman;serif"/>
          <w:b w:val="false"/>
          <w:color w:val="231F20"/>
          <w:sz w:val="20"/>
        </w:rPr>
        <w:t>While</w:t>
      </w:r>
      <w:r>
        <w:rPr>
          <w:color w:val="231F20"/>
        </w:rPr>
        <w:t xml:space="preserve"> </w:t>
      </w:r>
      <w:r>
        <w:rPr>
          <w:rFonts w:ascii="Times New Roman;serif" w:hAnsi="Times New Roman;serif"/>
          <w:b w:val="false"/>
          <w:color w:val="231F20"/>
          <w:sz w:val="20"/>
        </w:rPr>
        <w:t>amortization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capitalized</w:t>
      </w:r>
      <w:r>
        <w:rPr>
          <w:color w:val="231F20"/>
        </w:rPr>
        <w:t xml:space="preserve"> </w:t>
      </w:r>
      <w:r>
        <w:rPr>
          <w:rFonts w:ascii="Times New Roman;serif" w:hAnsi="Times New Roman;serif"/>
          <w:b w:val="false"/>
          <w:color w:val="231F20"/>
          <w:sz w:val="20"/>
        </w:rPr>
        <w:t>production</w:t>
      </w:r>
      <w:r>
        <w:rPr>
          <w:color w:val="231F20"/>
        </w:rPr>
        <w:t xml:space="preserve"> </w:t>
      </w:r>
      <w:r>
        <w:rPr>
          <w:rFonts w:ascii="Times New Roman;serif" w:hAnsi="Times New Roman;serif"/>
          <w:b w:val="false"/>
          <w:color w:val="231F20"/>
          <w:sz w:val="20"/>
        </w:rPr>
        <w:t>equipment has</w:t>
      </w:r>
      <w:r>
        <w:rPr>
          <w:color w:val="231F20"/>
        </w:rPr>
        <w:t xml:space="preserve"> </w:t>
      </w:r>
      <w:r>
        <w:rPr>
          <w:rFonts w:ascii="Times New Roman;serif" w:hAnsi="Times New Roman;serif"/>
          <w:b w:val="false"/>
          <w:color w:val="231F20"/>
          <w:sz w:val="20"/>
        </w:rPr>
        <w:t>historically not</w:t>
      </w:r>
      <w:r>
        <w:rPr>
          <w:color w:val="231F20"/>
        </w:rPr>
        <w:t xml:space="preserve"> </w:t>
      </w:r>
      <w:r>
        <w:rPr>
          <w:rFonts w:ascii="Times New Roman;serif" w:hAnsi="Times New Roman;serif"/>
          <w:b w:val="false"/>
          <w:color w:val="231F20"/>
          <w:sz w:val="20"/>
        </w:rPr>
        <w:t>been</w:t>
      </w:r>
      <w:r>
        <w:rPr>
          <w:color w:val="231F20"/>
        </w:rPr>
        <w:t xml:space="preserve"> </w:t>
      </w:r>
      <w:r>
        <w:rPr>
          <w:rFonts w:ascii="Times New Roman;serif" w:hAnsi="Times New Roman;serif"/>
          <w:b w:val="false"/>
          <w:color w:val="231F20"/>
          <w:sz w:val="20"/>
        </w:rPr>
        <w:t>material,</w:t>
      </w:r>
      <w:r>
        <w:rPr>
          <w:color w:val="231F20"/>
        </w:rPr>
        <w:t xml:space="preserve"> </w:t>
      </w:r>
      <w:r>
        <w:rPr>
          <w:rFonts w:ascii="Times New Roman;serif" w:hAnsi="Times New Roman;serif"/>
          <w:b w:val="false"/>
          <w:color w:val="231F20"/>
          <w:sz w:val="20"/>
        </w:rPr>
        <w:t>we expect</w:t>
      </w:r>
      <w:r>
        <w:rPr>
          <w:color w:val="231F20"/>
        </w:rPr>
        <w:t xml:space="preserve"> </w:t>
      </w:r>
      <w:r>
        <w:rPr>
          <w:rFonts w:ascii="Times New Roman;serif" w:hAnsi="Times New Roman;serif"/>
          <w:b w:val="false"/>
          <w:color w:val="231F20"/>
          <w:sz w:val="20"/>
        </w:rPr>
        <w:t>to incur significant amortization</w:t>
      </w:r>
      <w:r>
        <w:rPr>
          <w:color w:val="231F20"/>
        </w:rPr>
        <w:t xml:space="preserve"> </w:t>
      </w:r>
      <w:r>
        <w:rPr>
          <w:rFonts w:ascii="Times New Roman;serif" w:hAnsi="Times New Roman;serif"/>
          <w:b w:val="false"/>
          <w:color w:val="231F20"/>
          <w:sz w:val="20"/>
        </w:rPr>
        <w:t>costs</w:t>
      </w:r>
      <w:r>
        <w:rPr>
          <w:color w:val="231F20"/>
        </w:rPr>
        <w:t xml:space="preserve"> </w:t>
      </w:r>
      <w:r>
        <w:rPr>
          <w:rFonts w:ascii="Times New Roman;serif" w:hAnsi="Times New Roman;serif"/>
          <w:b w:val="false"/>
          <w:color w:val="231F20"/>
          <w:sz w:val="20"/>
        </w:rPr>
        <w:t>in the</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as we continue</w:t>
      </w:r>
      <w:r>
        <w:rPr>
          <w:color w:val="231F20"/>
        </w:rPr>
        <w:t xml:space="preserve"> </w:t>
      </w:r>
      <w:r>
        <w:rPr>
          <w:rFonts w:ascii="Times New Roman;serif" w:hAnsi="Times New Roman;serif"/>
          <w:b w:val="false"/>
          <w:color w:val="231F20"/>
          <w:sz w:val="20"/>
        </w:rPr>
        <w:t>to increase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number</w:t>
      </w:r>
      <w:r>
        <w:rPr>
          <w:color w:val="231F20"/>
        </w:rPr>
        <w:t xml:space="preserve"> </w:t>
      </w:r>
      <w:r>
        <w:rPr>
          <w:rFonts w:ascii="Times New Roman;serif" w:hAnsi="Times New Roman;serif"/>
          <w:b w:val="false"/>
          <w:color w:val="231F20"/>
          <w:sz w:val="20"/>
        </w:rPr>
        <w:t>of additional</w:t>
      </w:r>
      <w:r>
        <w:rPr>
          <w:color w:val="231F20"/>
        </w:rPr>
        <w:t xml:space="preserve"> </w:t>
      </w:r>
      <w:r>
        <w:rPr>
          <w:rFonts w:ascii="Times New Roman;serif" w:hAnsi="Times New Roman;serif"/>
          <w:b w:val="false"/>
          <w:color w:val="231F20"/>
          <w:sz w:val="20"/>
        </w:rPr>
        <w:t>products and place them into production.</w:t>
      </w:r>
    </w:p>
    <w:p>
      <w:pPr>
        <w:pStyle w:val="TextBody"/>
        <w:bidi w:val="0"/>
        <w:spacing w:lineRule="auto" w:line="288" w:before="240" w:after="283"/>
        <w:jc w:val="both"/>
        <w:rPr/>
      </w:pPr>
      <w:r>
        <w:rPr>
          <w:rFonts w:ascii="Times New Roman;serif" w:hAnsi="Times New Roman;serif"/>
          <w:b/>
          <w:i/>
          <w:color w:val="231F20"/>
          <w:sz w:val="20"/>
        </w:rPr>
        <w:t>Gross Profit</w:t>
      </w:r>
      <w:r>
        <w:rPr>
          <w:color w:val="231F20"/>
        </w:rPr>
        <w:t xml:space="preserve"> </w:t>
      </w:r>
      <w:r>
        <w:rPr>
          <w:rFonts w:ascii="Times New Roman;serif" w:hAnsi="Times New Roman;serif"/>
          <w:b/>
          <w:i/>
          <w:color w:val="231F20"/>
          <w:sz w:val="20"/>
        </w:rPr>
        <w:t>and Gross Margin</w:t>
      </w:r>
    </w:p>
    <w:p>
      <w:pPr>
        <w:pStyle w:val="TextBody"/>
        <w:bidi w:val="0"/>
        <w:spacing w:lineRule="auto" w:line="288" w:before="120" w:after="120"/>
        <w:ind w:left="0" w:right="0" w:firstLine="450"/>
        <w:jc w:val="both"/>
        <w:rPr/>
      </w:pPr>
      <w:r>
        <w:rPr>
          <w:rFonts w:ascii="Times New Roman;serif" w:hAnsi="Times New Roman;serif"/>
          <w:b w:val="false"/>
          <w:color w:val="231F20"/>
          <w:sz w:val="20"/>
        </w:rPr>
        <w:t xml:space="preserve">Gross profit represents revenue less cost of revenue. Gross margin is gross profit expressed as a percentage of revenue. Our gross profit has been, and may in the future be, primarily influenced by several factors, including sales volumes, pricing of our products and services, changes in product costs, contract manufacturing supplier pricing, </w:t>
      </w:r>
      <w:r>
        <w:rPr>
          <w:rFonts w:ascii="Times New Roman;serif" w:hAnsi="Times New Roman;serif"/>
          <w:b w:val="false"/>
          <w:color w:val="000000"/>
          <w:sz w:val="20"/>
        </w:rPr>
        <w:t xml:space="preserve">amortization of capitalized production equipment, </w:t>
      </w:r>
      <w:r>
        <w:rPr>
          <w:rFonts w:ascii="Times New Roman;serif" w:hAnsi="Times New Roman;serif"/>
          <w:b w:val="false"/>
          <w:color w:val="231F20"/>
          <w:sz w:val="20"/>
        </w:rPr>
        <w:t xml:space="preserve">personnel costs, shipping and logistics costs, and inventory write-downs. </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Research and Development</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personnel-related costs including salaries, non-cash stock-based compensation expense, employee benefits, bonuses, pre-production engineering mask costs, software license and cloud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hosting services costs, prototype costs, packaging and test costs, professional services fees, and allocated shared expenses. Research and development costs are expensed as incurred.</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continued investments in our products are important to our future growth and, as a result, we expect our research and development expenses to continue to increase in absolute dollars.</w:t>
      </w:r>
    </w:p>
    <w:p>
      <w:pPr>
        <w:pStyle w:val="TextBody"/>
        <w:bidi w:val="0"/>
        <w:spacing w:lineRule="auto" w:line="288" w:before="240" w:after="283"/>
        <w:jc w:val="left"/>
        <w:rPr/>
      </w:pPr>
      <w:r>
        <w:rPr>
          <w:rFonts w:ascii="Times New Roman;serif" w:hAnsi="Times New Roman;serif"/>
          <w:b/>
          <w:i/>
          <w:color w:val="231F20"/>
          <w:sz w:val="20"/>
        </w:rPr>
        <w:t>Sales</w:t>
      </w:r>
      <w:r>
        <w:rPr>
          <w:color w:val="231F20"/>
        </w:rPr>
        <w:t xml:space="preserve"> </w:t>
      </w:r>
      <w:r>
        <w:rPr>
          <w:rFonts w:ascii="Times New Roman;serif" w:hAnsi="Times New Roman;serif"/>
          <w:b/>
          <w:i/>
          <w:color w:val="231F20"/>
          <w:sz w:val="20"/>
        </w:rPr>
        <w:t>and Marketing</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personnel-related costs including salaries, non-cash stock-based compensation expense, employee benefits, bonuses, samples to potential customers, product marketing and conferences, travel and entertainment costs, and allocated shared expenses.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that our sales and marketing expenses will increase in absolute dollars as we increase our sales and marketing personnel and continue to expand our customer engagement with more design activities and increased product offerings.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General and Administrative</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General and administrative expenses consist primarily of personnel-related costs including salaries, non-cash stock-based compensation expense, employee benefits and bonuses related to corporate, finance, information technology, legal, and human resource functions, professional services fees, audit and compliance expenses, insurance costs, and general corporate expenses including allocated shared expenses.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absolute dollars as we grow our operations and continue to incur additional expenses associated with operating as a public company.</w:t>
      </w:r>
    </w:p>
    <w:p>
      <w:pPr>
        <w:pStyle w:val="TextBody"/>
        <w:bidi w:val="0"/>
        <w:spacing w:lineRule="auto" w:line="288" w:before="240" w:after="283"/>
        <w:jc w:val="left"/>
        <w:rPr/>
      </w:pPr>
      <w:r>
        <w:rPr>
          <w:rFonts w:ascii="Times New Roman;serif" w:hAnsi="Times New Roman;serif"/>
          <w:b/>
          <w:i/>
          <w:color w:val="231F20"/>
          <w:sz w:val="20"/>
        </w:rPr>
        <w:t>Interest</w:t>
      </w:r>
      <w:r>
        <w:rPr>
          <w:color w:val="231F20"/>
        </w:rPr>
        <w:t xml:space="preserve"> </w:t>
      </w:r>
      <w:r>
        <w:rPr>
          <w:rFonts w:ascii="Times New Roman;serif" w:hAnsi="Times New Roman;serif"/>
          <w:b/>
          <w:i/>
          <w:color w:val="231F20"/>
          <w:sz w:val="20"/>
        </w:rPr>
        <w:t xml:space="preserve">Income </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Interest income primarily consists of interest income earned on our short-term investments included in cash and cash equivalents and marketable securities.</w:t>
      </w:r>
    </w:p>
    <w:p>
      <w:pPr>
        <w:pStyle w:val="TextBody"/>
        <w:bidi w:val="0"/>
        <w:spacing w:lineRule="auto" w:line="288" w:before="240" w:after="283"/>
        <w:jc w:val="left"/>
        <w:rPr/>
      </w:pPr>
      <w:r>
        <w:rPr>
          <w:rFonts w:ascii="Times New Roman;serif" w:hAnsi="Times New Roman;serif"/>
          <w:b/>
          <w:i/>
          <w:color w:val="231F20"/>
          <w:sz w:val="20"/>
        </w:rPr>
        <w:t>Income</w:t>
      </w:r>
      <w:r>
        <w:rPr>
          <w:color w:val="231F20"/>
        </w:rPr>
        <w:t xml:space="preserve"> </w:t>
      </w:r>
      <w:r>
        <w:rPr>
          <w:rFonts w:ascii="Times New Roman;serif" w:hAnsi="Times New Roman;serif"/>
          <w:b/>
          <w:i/>
          <w:color w:val="231F20"/>
          <w:sz w:val="20"/>
        </w:rPr>
        <w:t>Tax (Benefit) Provision</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Income tax (benefit) provision consists primarily of U.S. federal, state, and foreign income taxes. We maintain a full valuation allowance on our federal and state deferred tax assets as we have concluded that it is more likely than not that the deferred tax assets will not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231F20"/>
          <w:sz w:val="20"/>
        </w:rPr>
        <w:t>Results</w:t>
      </w:r>
      <w:r>
        <w:rPr>
          <w:color w:val="231F20"/>
        </w:rPr>
        <w:t xml:space="preserve"> </w:t>
      </w:r>
      <w:r>
        <w:rPr>
          <w:rFonts w:ascii="Times New Roman;serif" w:hAnsi="Times New Roman;serif"/>
          <w:b/>
          <w:color w:val="231F20"/>
          <w:sz w:val="20"/>
        </w:rPr>
        <w:t>of Operations</w:t>
      </w:r>
    </w:p>
    <w:p>
      <w:pPr>
        <w:pStyle w:val="TextBody"/>
        <w:bidi w:val="0"/>
        <w:spacing w:lineRule="auto" w:line="288" w:before="240" w:after="283"/>
        <w:jc w:val="left"/>
        <w:rPr/>
      </w:pPr>
      <w:r>
        <w:rPr>
          <w:rFonts w:ascii="Times New Roman;serif" w:hAnsi="Times New Roman;serif"/>
          <w:b/>
          <w:color w:val="231F20"/>
          <w:sz w:val="20"/>
        </w:rPr>
        <w:t>Comparison of Years Ended</w:t>
      </w:r>
      <w:r>
        <w:rPr>
          <w:color w:val="231F20"/>
        </w:rPr>
        <w:t xml:space="preserve"> </w:t>
      </w:r>
      <w:r>
        <w:rPr>
          <w:rFonts w:ascii="Times New Roman;serif" w:hAnsi="Times New Roman;serif"/>
          <w:b/>
          <w:color w:val="231F20"/>
          <w:sz w:val="20"/>
        </w:rPr>
        <w:t>December</w:t>
      </w:r>
      <w:r>
        <w:rPr>
          <w:color w:val="231F20"/>
        </w:rPr>
        <w:t xml:space="preserve"> </w:t>
      </w:r>
      <w:r>
        <w:rPr>
          <w:rFonts w:ascii="Times New Roman;serif" w:hAnsi="Times New Roman;serif"/>
          <w:b/>
          <w:color w:val="231F20"/>
          <w:sz w:val="20"/>
        </w:rPr>
        <w:t>31, 2025 and 2024</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Revenue</w:t>
      </w:r>
    </w:p>
    <w:tbl>
      <w:tblPr>
        <w:tblW w:w="6270"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852,525 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396,290 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456,235 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115 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120" w:after="120"/>
        <w:ind w:left="0" w:right="0" w:firstLine="450"/>
        <w:jc w:val="both"/>
        <w:rPr/>
      </w:pP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 xml:space="preserve">revenue </w:t>
      </w:r>
      <w:r>
        <w:rPr>
          <w:rFonts w:ascii="Times New Roman;serif" w:hAnsi="Times New Roman;serif"/>
          <w:b w:val="false"/>
          <w:color w:val="000000"/>
          <w:sz w:val="20"/>
        </w:rPr>
        <w:t>increased $456.2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115%</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year 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 xml:space="preserve">the same period in </w:t>
      </w:r>
      <w:r>
        <w:rPr>
          <w:rFonts w:ascii="Times New Roman;serif" w:hAnsi="Times New Roman;serif"/>
          <w:b w:val="false"/>
          <w:color w:val="000000"/>
          <w:sz w:val="20"/>
        </w:rPr>
        <w:t xml:space="preserve">2024. </w:t>
      </w:r>
      <w:r>
        <w:rPr>
          <w:rFonts w:ascii="Times New Roman;serif" w:hAnsi="Times New Roman;serif"/>
          <w:b w:val="false"/>
          <w:color w:val="231F20"/>
          <w:sz w:val="20"/>
        </w:rPr>
        <w:t>The increase was primarily</w:t>
      </w:r>
      <w:r>
        <w:rPr>
          <w:color w:val="231F20"/>
        </w:rPr>
        <w:t xml:space="preserve"> </w:t>
      </w:r>
      <w:r>
        <w:rPr>
          <w:rFonts w:ascii="Times New Roman;serif" w:hAnsi="Times New Roman;serif"/>
          <w:b w:val="false"/>
          <w:color w:val="231F20"/>
          <w:sz w:val="20"/>
        </w:rPr>
        <w:t xml:space="preserve">due to an increase in overall unit shipments driven by higher demand for our </w:t>
      </w:r>
      <w:r>
        <w:rPr>
          <w:rFonts w:ascii="Times New Roman;serif" w:hAnsi="Times New Roman;serif"/>
          <w:b w:val="false"/>
          <w:color w:val="000000"/>
          <w:sz w:val="20"/>
        </w:rPr>
        <w:t xml:space="preserve">Aries, Scorpio, and Taurus </w:t>
      </w:r>
      <w:r>
        <w:rPr>
          <w:rFonts w:ascii="Times New Roman;serif" w:hAnsi="Times New Roman;serif"/>
          <w:b w:val="false"/>
          <w:color w:val="231F20"/>
          <w:sz w:val="20"/>
        </w:rPr>
        <w:t xml:space="preserve">products, as well as higher overall average selling prices resulting from an increased mix of hardware modules </w:t>
      </w:r>
      <w:r>
        <w:rPr>
          <w:rFonts w:ascii="Times New Roman;serif" w:hAnsi="Times New Roman;serif"/>
          <w:b w:val="false"/>
          <w:color w:val="000000"/>
          <w:sz w:val="20"/>
        </w:rPr>
        <w:t>and Scorpio products</w:t>
      </w:r>
      <w:r>
        <w:rPr>
          <w:rFonts w:ascii="Times New Roman;serif" w:hAnsi="Times New Roman;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231F20"/>
          <w:sz w:val="20"/>
        </w:rPr>
      </w:pPr>
      <w:r>
        <w:rPr>
          <w:rFonts w:ascii="Times New Roman;serif" w:hAnsi="Times New Roman;serif"/>
          <w:b/>
          <w:i/>
          <w:color w:val="231F20"/>
          <w:sz w:val="20"/>
        </w:rPr>
        <w:t>Cost of Revenue, Gross Profit, and Gross Margin</w:t>
      </w:r>
    </w:p>
    <w:tbl>
      <w:tblPr>
        <w:tblW w:w="7147"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233"/>
        <w:gridCol w:w="233"/>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 and bps)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207,264 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93,591 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113,673 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645,261 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302,699 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342,562 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113 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75.7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76.4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231F20"/>
                <w:sz w:val="20"/>
              </w:rPr>
            </w:pPr>
            <w:r>
              <w:rPr>
                <w:rFonts w:ascii="Times New Roman;serif" w:hAnsi="Times New Roman;serif"/>
                <w:b w:val="false"/>
                <w:color w:val="231F20"/>
                <w:sz w:val="20"/>
              </w:rPr>
              <w:t>(70)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erif" w:hAnsi="Times New Roman;serif"/>
          <w:b w:val="false"/>
          <w:color w:val="231F20"/>
          <w:sz w:val="20"/>
        </w:rPr>
        <w:t>Total</w:t>
      </w:r>
      <w:r>
        <w:rPr>
          <w:color w:val="231F20"/>
        </w:rPr>
        <w:t xml:space="preserve"> </w:t>
      </w:r>
      <w:r>
        <w:rPr>
          <w:rFonts w:ascii="Times New Roman;serif" w:hAnsi="Times New Roman;serif"/>
          <w:b w:val="false"/>
          <w:color w:val="231F20"/>
          <w:sz w:val="20"/>
        </w:rPr>
        <w:t>cost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000000"/>
          <w:sz w:val="20"/>
        </w:rPr>
        <w:t>increased $113.7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121%</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year 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 xml:space="preserve">the same period in </w:t>
      </w:r>
      <w:r>
        <w:rPr>
          <w:rFonts w:ascii="Times New Roman;serif" w:hAnsi="Times New Roman;serif"/>
          <w:b w:val="false"/>
          <w:color w:val="000000"/>
          <w:sz w:val="20"/>
        </w:rPr>
        <w:t xml:space="preserve">2024. </w:t>
      </w:r>
      <w:r>
        <w:rPr>
          <w:rFonts w:ascii="Times New Roman;serif" w:hAnsi="Times New Roman;serif"/>
          <w:b w:val="false"/>
          <w:color w:val="231F20"/>
          <w:sz w:val="20"/>
        </w:rPr>
        <w:t>The increase was primarily</w:t>
      </w:r>
      <w:r>
        <w:rPr>
          <w:color w:val="231F20"/>
        </w:rPr>
        <w:t xml:space="preserve"> </w:t>
      </w:r>
      <w:r>
        <w:rPr>
          <w:rFonts w:ascii="Times New Roman;serif" w:hAnsi="Times New Roman;serif"/>
          <w:b w:val="false"/>
          <w:color w:val="231F20"/>
          <w:sz w:val="20"/>
        </w:rPr>
        <w:t xml:space="preserve">due to higher overall unit shipments and a shift in product mix, resulting from an increased mix of hardware modules </w:t>
      </w:r>
      <w:r>
        <w:rPr>
          <w:rFonts w:ascii="Times New Roman;serif" w:hAnsi="Times New Roman;serif"/>
          <w:b w:val="false"/>
          <w:color w:val="000000"/>
          <w:sz w:val="20"/>
        </w:rPr>
        <w:t>and Scorpio products</w:t>
      </w:r>
      <w:r>
        <w:rPr>
          <w:rFonts w:ascii="Times New Roman;serif" w:hAnsi="Times New Roman;serif"/>
          <w:b w:val="false"/>
          <w:color w:val="231F20"/>
          <w:sz w:val="20"/>
        </w:rPr>
        <w:t xml:space="preserve">. </w:t>
      </w:r>
    </w:p>
    <w:p>
      <w:pPr>
        <w:pStyle w:val="TextBody"/>
        <w:bidi w:val="0"/>
        <w:spacing w:lineRule="auto" w:line="288" w:before="120" w:after="120"/>
        <w:ind w:left="0" w:right="0" w:firstLine="450"/>
        <w:jc w:val="both"/>
        <w:rPr/>
      </w:pPr>
      <w:r>
        <w:rPr>
          <w:rFonts w:ascii="Times New Roman;serif" w:hAnsi="Times New Roman;serif"/>
          <w:b w:val="false"/>
          <w:color w:val="231F20"/>
          <w:sz w:val="20"/>
        </w:rPr>
        <w:t>Gross</w:t>
      </w:r>
      <w:r>
        <w:rPr>
          <w:color w:val="231F20"/>
        </w:rPr>
        <w:t xml:space="preserve"> </w:t>
      </w:r>
      <w:r>
        <w:rPr>
          <w:rFonts w:ascii="Times New Roman;serif" w:hAnsi="Times New Roman;serif"/>
          <w:b w:val="false"/>
          <w:color w:val="231F20"/>
          <w:sz w:val="20"/>
        </w:rPr>
        <w:t>margin</w:t>
      </w:r>
      <w:r>
        <w:rPr>
          <w:color w:val="000000"/>
        </w:rPr>
        <w:t xml:space="preserve">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231F20"/>
          <w:sz w:val="20"/>
        </w:rPr>
        <w:t>70 bps to </w:t>
      </w:r>
      <w:r>
        <w:rPr>
          <w:rFonts w:ascii="Times New Roman;serif" w:hAnsi="Times New Roman;serif"/>
          <w:b w:val="false"/>
          <w:color w:val="000000"/>
          <w:sz w:val="20"/>
        </w:rPr>
        <w:t xml:space="preserve">75.7%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year ended </w:t>
      </w:r>
      <w:r>
        <w:rPr>
          <w:rFonts w:ascii="Times New Roman;serif" w:hAnsi="Times New Roman;serif"/>
          <w:b w:val="false"/>
          <w:color w:val="000000"/>
          <w:sz w:val="20"/>
        </w:rPr>
        <w:t xml:space="preserve">December 31, 2025 compared to 76.4%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same period in </w:t>
      </w:r>
      <w:r>
        <w:rPr>
          <w:rFonts w:ascii="Times New Roman;serif" w:hAnsi="Times New Roman;serif"/>
          <w:b w:val="false"/>
          <w:color w:val="000000"/>
          <w:sz w:val="20"/>
        </w:rPr>
        <w:t xml:space="preserve">2024. </w:t>
      </w:r>
      <w:r>
        <w:rPr>
          <w:rFonts w:ascii="Times New Roman;serif" w:hAnsi="Times New Roman;serif"/>
          <w:b w:val="false"/>
          <w:color w:val="231F20"/>
          <w:sz w:val="20"/>
        </w:rPr>
        <w:t>The decrease was primarily driven by product mix as we shipped more hardware modules.</w:t>
      </w:r>
    </w:p>
    <w:p>
      <w:pPr>
        <w:pStyle w:val="TextBody"/>
        <w:bidi w:val="0"/>
        <w:spacing w:lineRule="auto" w:line="288" w:before="360" w:after="283"/>
        <w:jc w:val="left"/>
        <w:rPr>
          <w:rFonts w:ascii="Times New Roman;serif" w:hAnsi="Times New Roman;serif"/>
          <w:b/>
          <w:i/>
          <w:color w:val="231F20"/>
          <w:sz w:val="20"/>
        </w:rPr>
      </w:pPr>
      <w:r>
        <w:rPr>
          <w:rFonts w:ascii="Times New Roman;serif" w:hAnsi="Times New Roman;serif"/>
          <w:b/>
          <w:i/>
          <w:color w:val="231F20"/>
          <w:sz w:val="20"/>
        </w:rPr>
        <w:t>Research and Development</w:t>
      </w:r>
    </w:p>
    <w:tbl>
      <w:tblPr>
        <w:tblW w:w="8028" w:type="dxa"/>
        <w:jc w:val="left"/>
        <w:tblInd w:w="0" w:type="dxa"/>
        <w:tblLayout w:type="fixed"/>
        <w:tblCellMar>
          <w:top w:w="28" w:type="dxa"/>
          <w:left w:w="28" w:type="dxa"/>
          <w:bottom w:w="28" w:type="dxa"/>
          <w:right w:w="28" w:type="dxa"/>
        </w:tblCellMar>
      </w:tblPr>
      <w:tblGrid>
        <w:gridCol w:w="859"/>
        <w:gridCol w:w="753"/>
        <w:gridCol w:w="757"/>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6"/>
        <w:gridCol w:w="186"/>
        <w:gridCol w:w="544"/>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Change</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 xml:space="preserve">and development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303,998 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200,830 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Percentage</w:t>
            </w:r>
            <w:r>
              <w:rPr>
                <w:color w:val="231F20"/>
              </w:rPr>
              <w:t xml:space="preserve"> </w:t>
            </w:r>
            <w:r>
              <w:rPr>
                <w:rFonts w:ascii="Times New Roman;serif" w:hAnsi="Times New Roman;serif"/>
                <w:b w:val="false"/>
                <w:color w:val="231F20"/>
                <w:sz w:val="20"/>
              </w:rPr>
              <w:t>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erif" w:hAnsi="Times New Roman;serif"/>
          <w:b w:val="false"/>
          <w:color w:val="231F20"/>
          <w:sz w:val="20"/>
        </w:rPr>
        <w:t>Research</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development</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000000"/>
          <w:sz w:val="20"/>
        </w:rPr>
        <w:t>increased $103.2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51%</w:t>
      </w:r>
      <w:r>
        <w:rPr>
          <w:rFonts w:ascii="Times New Roman;serif" w:hAnsi="Times New Roman;serif"/>
          <w:b w:val="false"/>
          <w:color w:val="231F20"/>
          <w:sz w:val="20"/>
        </w:rPr>
        <w:t>, 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year 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 the</w:t>
      </w:r>
      <w:r>
        <w:rPr>
          <w:color w:val="231F20"/>
        </w:rPr>
        <w:t xml:space="preserve"> </w:t>
      </w:r>
      <w:r>
        <w:rPr>
          <w:rFonts w:ascii="Times New Roman;serif" w:hAnsi="Times New Roman;serif"/>
          <w:b w:val="false"/>
          <w:color w:val="231F20"/>
          <w:sz w:val="20"/>
        </w:rPr>
        <w:t xml:space="preserve">same period in </w:t>
      </w:r>
      <w:r>
        <w:rPr>
          <w:rFonts w:ascii="Times New Roman;serif" w:hAnsi="Times New Roman;serif"/>
          <w:b w:val="false"/>
          <w:color w:val="000000"/>
          <w:sz w:val="20"/>
        </w:rPr>
        <w:t>2024</w:t>
      </w:r>
      <w:r>
        <w:rPr>
          <w:rFonts w:ascii="Times New Roman;serif" w:hAnsi="Times New Roman;serif"/>
          <w:b w:val="false"/>
          <w:color w:val="231F20"/>
          <w:sz w:val="20"/>
        </w:rPr>
        <w:t>. The</w:t>
      </w:r>
      <w:r>
        <w:rPr>
          <w:color w:val="231F20"/>
        </w:rPr>
        <w:t xml:space="preserve">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was primarily due to a $61.5 million</w:t>
      </w:r>
      <w:r>
        <w:rPr>
          <w:color w:val="231F20"/>
        </w:rPr>
        <w:t xml:space="preserve"> </w:t>
      </w:r>
      <w:r>
        <w:rPr>
          <w:rFonts w:ascii="Times New Roman;serif" w:hAnsi="Times New Roman;serif"/>
          <w:b w:val="false"/>
          <w:color w:val="231F20"/>
          <w:sz w:val="20"/>
        </w:rPr>
        <w:t xml:space="preserve">increase in personnel-related costs, including </w:t>
      </w:r>
      <w:r>
        <w:rPr>
          <w:rFonts w:ascii="Times New Roman;serif" w:hAnsi="Times New Roman;serif"/>
          <w:b w:val="false"/>
          <w:color w:val="000000"/>
          <w:sz w:val="20"/>
        </w:rPr>
        <w:t>$5.4 million</w:t>
      </w:r>
      <w:r>
        <w:rPr>
          <w:color w:val="231F20"/>
        </w:rPr>
        <w:t xml:space="preserve"> </w:t>
      </w:r>
      <w:r>
        <w:rPr>
          <w:rFonts w:ascii="Times New Roman;serif" w:hAnsi="Times New Roman;serif"/>
          <w:b w:val="false"/>
          <w:color w:val="231F20"/>
          <w:sz w:val="20"/>
        </w:rPr>
        <w:t>of non-cash stock-based compensation</w:t>
      </w:r>
      <w:r>
        <w:rPr>
          <w:color w:val="231F20"/>
        </w:rPr>
        <w:t xml:space="preserve"> </w:t>
      </w:r>
      <w:r>
        <w:rPr>
          <w:rFonts w:ascii="Times New Roman;serif" w:hAnsi="Times New Roman;serif"/>
          <w:b w:val="false"/>
          <w:color w:val="231F20"/>
          <w:sz w:val="20"/>
        </w:rPr>
        <w:t>expenses resulting from</w:t>
      </w:r>
      <w:r>
        <w:rPr>
          <w:color w:val="231F20"/>
        </w:rPr>
        <w:t xml:space="preserve"> </w:t>
      </w:r>
      <w:r>
        <w:rPr>
          <w:rFonts w:ascii="Times New Roman;serif" w:hAnsi="Times New Roman;serif"/>
          <w:b w:val="false"/>
          <w:color w:val="231F20"/>
          <w:sz w:val="20"/>
        </w:rPr>
        <w:t>a 97% increase in</w:t>
      </w:r>
      <w:r>
        <w:rPr>
          <w:color w:val="231F20"/>
        </w:rPr>
        <w:t xml:space="preserve"> </w:t>
      </w:r>
      <w:r>
        <w:rPr>
          <w:rFonts w:ascii="Times New Roman;serif" w:hAnsi="Times New Roman;serif"/>
          <w:b w:val="false"/>
          <w:color w:val="231F20"/>
          <w:sz w:val="20"/>
        </w:rPr>
        <w:t>average headcount, a $31.4 million increase in overall spending to support our R&amp;D initiatives, and a $7.4 million increase in other operating costs to support our business expansion.</w:t>
      </w:r>
    </w:p>
    <w:p>
      <w:pPr>
        <w:pStyle w:val="TextBody"/>
        <w:bidi w:val="0"/>
        <w:spacing w:lineRule="auto" w:line="288" w:before="360" w:after="283"/>
        <w:jc w:val="left"/>
        <w:rPr/>
      </w:pPr>
      <w:r>
        <w:rPr>
          <w:rFonts w:ascii="Times New Roman;serif" w:hAnsi="Times New Roman;serif"/>
          <w:b/>
          <w:i/>
          <w:color w:val="231F20"/>
          <w:sz w:val="20"/>
        </w:rPr>
        <w:t>Sales</w:t>
      </w:r>
      <w:r>
        <w:rPr>
          <w:color w:val="231F20"/>
        </w:rPr>
        <w:t xml:space="preserve"> </w:t>
      </w:r>
      <w:r>
        <w:rPr>
          <w:rFonts w:ascii="Times New Roman;serif" w:hAnsi="Times New Roman;serif"/>
          <w:b/>
          <w:i/>
          <w:color w:val="231F20"/>
          <w:sz w:val="20"/>
        </w:rPr>
        <w:t>and Marketing</w:t>
      </w:r>
    </w:p>
    <w:tbl>
      <w:tblPr>
        <w:tblW w:w="7508" w:type="dxa"/>
        <w:jc w:val="left"/>
        <w:tblInd w:w="0" w:type="dxa"/>
        <w:tblLayout w:type="fixed"/>
        <w:tblCellMar>
          <w:top w:w="28" w:type="dxa"/>
          <w:left w:w="28" w:type="dxa"/>
          <w:bottom w:w="28" w:type="dxa"/>
          <w:right w:w="28" w:type="dxa"/>
        </w:tblCellMar>
      </w:tblPr>
      <w:tblGrid>
        <w:gridCol w:w="694"/>
        <w:gridCol w:w="611"/>
        <w:gridCol w:w="615"/>
        <w:gridCol w:w="211"/>
        <w:gridCol w:w="721"/>
        <w:gridCol w:w="271"/>
        <w:gridCol w:w="109"/>
        <w:gridCol w:w="109"/>
        <w:gridCol w:w="109"/>
        <w:gridCol w:w="211"/>
        <w:gridCol w:w="826"/>
        <w:gridCol w:w="271"/>
        <w:gridCol w:w="109"/>
        <w:gridCol w:w="109"/>
        <w:gridCol w:w="109"/>
        <w:gridCol w:w="211"/>
        <w:gridCol w:w="796"/>
        <w:gridCol w:w="109"/>
        <w:gridCol w:w="109"/>
        <w:gridCol w:w="109"/>
        <w:gridCol w:w="109"/>
        <w:gridCol w:w="218"/>
        <w:gridCol w:w="218"/>
        <w:gridCol w:w="544"/>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Change</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 xml:space="preserve">and marketing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79,774 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123,652 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Percentage</w:t>
            </w:r>
            <w:r>
              <w:rPr>
                <w:color w:val="231F20"/>
              </w:rPr>
              <w:t xml:space="preserve"> </w:t>
            </w:r>
            <w:r>
              <w:rPr>
                <w:rFonts w:ascii="Times New Roman;serif" w:hAnsi="Times New Roman;serif"/>
                <w:b w:val="false"/>
                <w:color w:val="231F20"/>
                <w:sz w:val="20"/>
              </w:rPr>
              <w:t>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marketing</w:t>
      </w:r>
      <w:r>
        <w:rPr>
          <w:color w:val="231F20"/>
        </w:rPr>
        <w:t xml:space="preserve"> </w:t>
      </w:r>
      <w:r>
        <w:rPr>
          <w:rFonts w:ascii="Times New Roman;serif" w:hAnsi="Times New Roman;serif"/>
          <w:b w:val="false"/>
          <w:color w:val="231F20"/>
          <w:sz w:val="20"/>
        </w:rPr>
        <w:t>expense de</w:t>
      </w:r>
      <w:r>
        <w:rPr>
          <w:rFonts w:ascii="Times New Roman;serif" w:hAnsi="Times New Roman;serif"/>
          <w:b w:val="false"/>
          <w:color w:val="000000"/>
          <w:sz w:val="20"/>
        </w:rPr>
        <w:t>creased $43.9 million</w:t>
      </w:r>
      <w:r>
        <w:rPr>
          <w:rFonts w:ascii="Times New Roman;serif" w:hAnsi="Times New Roman;serif"/>
          <w:b w:val="false"/>
          <w:color w:val="231F20"/>
          <w:sz w:val="20"/>
        </w:rPr>
        <w:t xml:space="preserve">, or </w:t>
      </w:r>
      <w:r>
        <w:rPr>
          <w:rFonts w:ascii="Times New Roman;serif" w:hAnsi="Times New Roman;serif"/>
          <w:b w:val="false"/>
          <w:color w:val="000000"/>
          <w:sz w:val="20"/>
        </w:rPr>
        <w:t>35%</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 xml:space="preserve">year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 the</w:t>
      </w:r>
      <w:r>
        <w:rPr>
          <w:color w:val="231F20"/>
        </w:rPr>
        <w:t xml:space="preserve"> </w:t>
      </w:r>
      <w:r>
        <w:rPr>
          <w:rFonts w:ascii="Times New Roman;serif" w:hAnsi="Times New Roman;serif"/>
          <w:b w:val="false"/>
          <w:color w:val="231F20"/>
          <w:sz w:val="20"/>
        </w:rPr>
        <w:t xml:space="preserve">same period in </w:t>
      </w:r>
      <w:r>
        <w:rPr>
          <w:rFonts w:ascii="Times New Roman;serif" w:hAnsi="Times New Roman;serif"/>
          <w:b w:val="false"/>
          <w:color w:val="000000"/>
          <w:sz w:val="20"/>
        </w:rPr>
        <w:t>2024</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The de</w:t>
      </w:r>
      <w:r>
        <w:rPr>
          <w:rFonts w:ascii="Times New Roman;serif" w:hAnsi="Times New Roman;serif"/>
          <w:b w:val="false"/>
          <w:color w:val="000000"/>
          <w:sz w:val="20"/>
        </w:rPr>
        <w:t>crease</w:t>
      </w:r>
      <w:r>
        <w:rPr>
          <w:color w:val="231F20"/>
        </w:rPr>
        <w:t xml:space="preserve"> </w:t>
      </w:r>
      <w:r>
        <w:rPr>
          <w:rFonts w:ascii="Times New Roman;serif" w:hAnsi="Times New Roman;serif"/>
          <w:b w:val="false"/>
          <w:color w:val="231F20"/>
          <w:sz w:val="20"/>
        </w:rPr>
        <w:t>was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 xml:space="preserve">due to a </w:t>
      </w:r>
      <w:r>
        <w:rPr>
          <w:rFonts w:ascii="Times New Roman;serif" w:hAnsi="Times New Roman;serif"/>
          <w:b w:val="false"/>
          <w:color w:val="000000"/>
          <w:sz w:val="20"/>
        </w:rPr>
        <w:t>$56.0 million d</w:t>
      </w:r>
      <w:r>
        <w:rPr>
          <w:rFonts w:ascii="Times New Roman;serif" w:hAnsi="Times New Roman;serif"/>
          <w:b w:val="false"/>
          <w:color w:val="231F20"/>
          <w:sz w:val="20"/>
        </w:rPr>
        <w:t>ecrease in non-cash stock-based compensation expense, which resulted primarily from the recognition of time-based vesting of RSUs and the satisfaction of the liquidity event vesting condition in connection with our IPO in the prior period. The decrease was partially offset by a $9.8 million increase in personnel-related</w:t>
      </w:r>
      <w:r>
        <w:rPr>
          <w:color w:val="231F20"/>
        </w:rPr>
        <w:t xml:space="preserve"> </w:t>
      </w:r>
      <w:r>
        <w:rPr>
          <w:rFonts w:ascii="Times New Roman;serif" w:hAnsi="Times New Roman;serif"/>
          <w:b w:val="false"/>
          <w:color w:val="231F20"/>
          <w:sz w:val="20"/>
        </w:rPr>
        <w:t>expenses resulting from a 25%</w:t>
      </w:r>
      <w:r>
        <w:rPr>
          <w:color w:val="231F20"/>
        </w:rPr>
        <w:t xml:space="preserve"> </w:t>
      </w:r>
      <w:r>
        <w:rPr>
          <w:rFonts w:ascii="Times New Roman;serif" w:hAnsi="Times New Roman;serif"/>
          <w:b w:val="false"/>
          <w:color w:val="231F20"/>
          <w:sz w:val="20"/>
        </w:rPr>
        <w:t>increase in average</w:t>
      </w:r>
      <w:r>
        <w:rPr>
          <w:color w:val="231F20"/>
        </w:rPr>
        <w:t xml:space="preserve"> </w:t>
      </w:r>
      <w:r>
        <w:rPr>
          <w:rFonts w:ascii="Times New Roman;serif" w:hAnsi="Times New Roman;serif"/>
          <w:b w:val="false"/>
          <w:color w:val="231F20"/>
          <w:sz w:val="20"/>
        </w:rPr>
        <w:t xml:space="preserve">headcount. </w:t>
      </w:r>
    </w:p>
    <w:p>
      <w:pPr>
        <w:pStyle w:val="TextBody"/>
        <w:bidi w:val="0"/>
        <w:spacing w:before="0" w:after="0"/>
        <w:jc w:val="both"/>
        <w:rPr/>
      </w:pPr>
      <w:r>
        <w:rPr/>
      </w:r>
    </w:p>
    <w:p>
      <w:pPr>
        <w:pStyle w:val="TextBody"/>
        <w:bidi w:val="0"/>
        <w:spacing w:lineRule="auto" w:line="288" w:before="120" w:after="120"/>
        <w:jc w:val="left"/>
        <w:rPr>
          <w:rFonts w:ascii="Times New Roman;serif" w:hAnsi="Times New Roman;serif"/>
          <w:b/>
          <w:i/>
          <w:color w:val="231F20"/>
          <w:sz w:val="20"/>
        </w:rPr>
      </w:pPr>
      <w:r>
        <w:rPr>
          <w:rFonts w:ascii="Times New Roman;serif" w:hAnsi="Times New Roman;serif"/>
          <w:b/>
          <w:i/>
          <w:color w:val="231F20"/>
          <w:sz w:val="20"/>
        </w:rPr>
        <w:t>General and Administrative</w:t>
      </w:r>
    </w:p>
    <w:tbl>
      <w:tblPr>
        <w:tblW w:w="7683" w:type="dxa"/>
        <w:jc w:val="left"/>
        <w:tblInd w:w="0" w:type="dxa"/>
        <w:tblLayout w:type="fixed"/>
        <w:tblCellMar>
          <w:top w:w="28" w:type="dxa"/>
          <w:left w:w="28" w:type="dxa"/>
          <w:bottom w:w="28" w:type="dxa"/>
          <w:right w:w="28" w:type="dxa"/>
        </w:tblCellMar>
      </w:tblPr>
      <w:tblGrid>
        <w:gridCol w:w="859"/>
        <w:gridCol w:w="754"/>
        <w:gridCol w:w="756"/>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186"/>
        <w:gridCol w:w="186"/>
        <w:gridCol w:w="54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Change</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 xml:space="preserve">and administrative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88,066 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94,283 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Percentage</w:t>
            </w:r>
            <w:r>
              <w:rPr>
                <w:color w:val="231F20"/>
              </w:rPr>
              <w:t xml:space="preserve"> </w:t>
            </w:r>
            <w:r>
              <w:rPr>
                <w:rFonts w:ascii="Times New Roman;serif" w:hAnsi="Times New Roman;serif"/>
                <w:b w:val="false"/>
                <w:color w:val="231F20"/>
                <w:sz w:val="20"/>
              </w:rPr>
              <w:t>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both"/>
        <w:rPr/>
      </w:pPr>
      <w:r>
        <w:rPr>
          <w:rFonts w:ascii="Times New Roman;serif" w:hAnsi="Times New Roman;serif"/>
          <w:b w:val="false"/>
          <w:color w:val="231F20"/>
          <w:sz w:val="20"/>
        </w:rPr>
        <w:t>General</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administrative</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231F20"/>
          <w:sz w:val="20"/>
        </w:rPr>
        <w:t>de</w:t>
      </w:r>
      <w:r>
        <w:rPr>
          <w:rFonts w:ascii="Times New Roman;serif" w:hAnsi="Times New Roman;serif"/>
          <w:b w:val="false"/>
          <w:color w:val="000000"/>
          <w:sz w:val="20"/>
        </w:rPr>
        <w:t>creased $6.2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7%</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for the</w:t>
      </w:r>
      <w:r>
        <w:rPr>
          <w:color w:val="231F20"/>
        </w:rPr>
        <w:t xml:space="preserve"> </w:t>
      </w:r>
      <w:r>
        <w:rPr>
          <w:rFonts w:ascii="Times New Roman;serif" w:hAnsi="Times New Roman;serif"/>
          <w:b w:val="false"/>
          <w:color w:val="231F20"/>
          <w:sz w:val="20"/>
        </w:rPr>
        <w:t xml:space="preserve">year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to the</w:t>
      </w:r>
      <w:r>
        <w:rPr>
          <w:color w:val="231F20"/>
        </w:rPr>
        <w:t xml:space="preserve"> </w:t>
      </w:r>
      <w:r>
        <w:rPr>
          <w:rFonts w:ascii="Times New Roman;serif" w:hAnsi="Times New Roman;serif"/>
          <w:b w:val="false"/>
          <w:color w:val="231F20"/>
          <w:sz w:val="20"/>
        </w:rPr>
        <w:t xml:space="preserve">same period in </w:t>
      </w:r>
      <w:r>
        <w:rPr>
          <w:rFonts w:ascii="Times New Roman;serif" w:hAnsi="Times New Roman;serif"/>
          <w:b w:val="false"/>
          <w:color w:val="000000"/>
          <w:sz w:val="20"/>
        </w:rPr>
        <w:t>2024</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de</w:t>
      </w:r>
      <w:r>
        <w:rPr>
          <w:rFonts w:ascii="Times New Roman;serif" w:hAnsi="Times New Roman;serif"/>
          <w:b w:val="false"/>
          <w:color w:val="000000"/>
          <w:sz w:val="20"/>
        </w:rPr>
        <w:t>crease</w:t>
      </w:r>
      <w:r>
        <w:rPr>
          <w:color w:val="231F20"/>
        </w:rPr>
        <w:t xml:space="preserve"> </w:t>
      </w:r>
      <w:r>
        <w:rPr>
          <w:rFonts w:ascii="Times New Roman;serif" w:hAnsi="Times New Roman;serif"/>
          <w:b w:val="false"/>
          <w:color w:val="231F20"/>
          <w:sz w:val="20"/>
        </w:rPr>
        <w:t>was primarily due to</w:t>
      </w:r>
      <w:r>
        <w:rPr>
          <w:color w:val="231F20"/>
        </w:rPr>
        <w:t xml:space="preserve"> </w:t>
      </w:r>
      <w:r>
        <w:rPr>
          <w:rFonts w:ascii="Times New Roman;serif" w:hAnsi="Times New Roman;serif"/>
          <w:b w:val="false"/>
          <w:color w:val="231F20"/>
          <w:sz w:val="20"/>
        </w:rPr>
        <w:t xml:space="preserve">a </w:t>
      </w:r>
      <w:r>
        <w:rPr>
          <w:rFonts w:ascii="Times New Roman;serif" w:hAnsi="Times New Roman;serif"/>
          <w:b w:val="false"/>
          <w:color w:val="000000"/>
          <w:sz w:val="20"/>
        </w:rPr>
        <w:t>$24.3 million de</w:t>
      </w:r>
      <w:r>
        <w:rPr>
          <w:rFonts w:ascii="Times New Roman;serif" w:hAnsi="Times New Roman;serif"/>
          <w:b w:val="false"/>
          <w:color w:val="231F20"/>
          <w:sz w:val="20"/>
        </w:rPr>
        <w:t>crease in non-cash stock-based compensation expense, which resulted primarily from the recognition of time-based vesting of RSUs and the satisfaction of the liquidity event vesting condition in connection with our IPO in the prior period. The decrease was partially offset by a $9.7 million increase</w:t>
      </w:r>
      <w:r>
        <w:rPr>
          <w:color w:val="231F20"/>
        </w:rPr>
        <w:t xml:space="preserve"> </w:t>
      </w:r>
      <w:r>
        <w:rPr>
          <w:rFonts w:ascii="Times New Roman;serif" w:hAnsi="Times New Roman;serif"/>
          <w:b w:val="false"/>
          <w:color w:val="231F20"/>
          <w:sz w:val="20"/>
        </w:rPr>
        <w:t>in personnel-related</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resulting from a 49%</w:t>
      </w:r>
      <w:r>
        <w:rPr>
          <w:color w:val="231F20"/>
        </w:rPr>
        <w:t xml:space="preserve"> </w:t>
      </w:r>
      <w:r>
        <w:rPr>
          <w:rFonts w:ascii="Times New Roman;serif" w:hAnsi="Times New Roman;serif"/>
          <w:b w:val="false"/>
          <w:color w:val="231F20"/>
          <w:sz w:val="20"/>
        </w:rPr>
        <w:t>increase in</w:t>
      </w:r>
      <w:r>
        <w:rPr>
          <w:color w:val="231F20"/>
        </w:rPr>
        <w:t xml:space="preserve"> </w:t>
      </w:r>
      <w:r>
        <w:rPr>
          <w:rFonts w:ascii="Times New Roman;serif" w:hAnsi="Times New Roman;serif"/>
          <w:b w:val="false"/>
          <w:color w:val="231F20"/>
          <w:sz w:val="20"/>
        </w:rPr>
        <w:t>average headcount, a $3.9 million increase in professional services fees associated with the continued development of our public company infrastructure, and a $3.8 million increase in other operating costs to support our business expansion.</w:t>
      </w:r>
    </w:p>
    <w:p>
      <w:pPr>
        <w:pStyle w:val="TextBody"/>
        <w:bidi w:val="0"/>
        <w:spacing w:lineRule="auto" w:line="288" w:before="360" w:after="283"/>
        <w:jc w:val="left"/>
        <w:rPr/>
      </w:pPr>
      <w:r>
        <w:rPr>
          <w:rFonts w:ascii="Times New Roman;serif" w:hAnsi="Times New Roman;serif"/>
          <w:b/>
          <w:i/>
          <w:color w:val="231F20"/>
          <w:sz w:val="20"/>
        </w:rPr>
        <w:t>Interest</w:t>
      </w:r>
      <w:r>
        <w:rPr>
          <w:color w:val="231F20"/>
        </w:rPr>
        <w:t xml:space="preserve"> </w:t>
      </w:r>
      <w:r>
        <w:rPr>
          <w:rFonts w:ascii="Times New Roman;serif" w:hAnsi="Times New Roman;serif"/>
          <w:b/>
          <w:i/>
          <w:color w:val="231F20"/>
          <w:sz w:val="20"/>
        </w:rPr>
        <w:t>Income</w:t>
      </w:r>
    </w:p>
    <w:tbl>
      <w:tblPr>
        <w:tblW w:w="6384" w:type="dxa"/>
        <w:jc w:val="left"/>
        <w:tblInd w:w="0" w:type="dxa"/>
        <w:tblLayout w:type="fixed"/>
        <w:tblCellMar>
          <w:top w:w="28" w:type="dxa"/>
          <w:left w:w="28" w:type="dxa"/>
          <w:bottom w:w="28" w:type="dxa"/>
          <w:right w:w="28" w:type="dxa"/>
        </w:tblCellMar>
      </w:tblPr>
      <w:tblGrid>
        <w:gridCol w:w="494"/>
        <w:gridCol w:w="433"/>
        <w:gridCol w:w="43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120" w:after="120"/>
        <w:ind w:left="0" w:right="0" w:firstLine="450"/>
        <w:jc w:val="both"/>
        <w:rPr/>
      </w:pP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December 31, 2025, interest income</w:t>
      </w:r>
      <w:r>
        <w:rPr>
          <w:color w:val="231F20"/>
        </w:rPr>
        <w:t xml:space="preserve"> </w:t>
      </w:r>
      <w:r>
        <w:rPr>
          <w:rFonts w:ascii="Times New Roman;serif" w:hAnsi="Times New Roman;serif"/>
          <w:b w:val="false"/>
          <w:color w:val="000000"/>
          <w:sz w:val="20"/>
        </w:rPr>
        <w:t>increased $10.4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 xml:space="preserve">or </w:t>
      </w:r>
      <w:r>
        <w:rPr>
          <w:rFonts w:ascii="Times New Roman;serif" w:hAnsi="Times New Roman;serif"/>
          <w:b w:val="false"/>
          <w:color w:val="000000"/>
          <w:sz w:val="20"/>
        </w:rPr>
        <w:t>30%, compared to the same period in 2024.</w:t>
      </w:r>
      <w:r>
        <w:rPr>
          <w:color w:val="231F20"/>
        </w:rPr>
        <w:t xml:space="preserve"> </w:t>
      </w:r>
      <w:r>
        <w:rPr>
          <w:rFonts w:ascii="Times New Roman;serif" w:hAnsi="Times New Roman;serif"/>
          <w:b w:val="false"/>
          <w:color w:val="000000"/>
          <w:sz w:val="20"/>
        </w:rPr>
        <w:t>The increase in interest income was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due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 xml:space="preserve">higher average balances of short-term investments and cash equivalents as a result of our IPO in the prior period and net cash inflow from operations. </w:t>
      </w:r>
    </w:p>
    <w:p>
      <w:pPr>
        <w:pStyle w:val="TextBody"/>
        <w:bidi w:val="0"/>
        <w:spacing w:lineRule="auto" w:line="288" w:before="360" w:after="283"/>
        <w:jc w:val="left"/>
        <w:rPr/>
      </w:pPr>
      <w:r>
        <w:rPr>
          <w:rFonts w:ascii="Times New Roman;serif" w:hAnsi="Times New Roman;serif"/>
          <w:b/>
          <w:i/>
          <w:color w:val="231F20"/>
          <w:sz w:val="20"/>
        </w:rPr>
        <w:t>Income</w:t>
      </w:r>
      <w:r>
        <w:rPr>
          <w:color w:val="231F20"/>
        </w:rPr>
        <w:t xml:space="preserve"> </w:t>
      </w:r>
      <w:r>
        <w:rPr>
          <w:rFonts w:ascii="Times New Roman;serif" w:hAnsi="Times New Roman;serif"/>
          <w:b/>
          <w:i/>
          <w:color w:val="231F20"/>
          <w:sz w:val="20"/>
        </w:rPr>
        <w:t>Tax (Benefit) Provision</w:t>
      </w:r>
    </w:p>
    <w:tbl>
      <w:tblPr>
        <w:tblW w:w="7482" w:type="dxa"/>
        <w:jc w:val="left"/>
        <w:tblInd w:w="0" w:type="dxa"/>
        <w:tblLayout w:type="fixed"/>
        <w:tblCellMar>
          <w:top w:w="28" w:type="dxa"/>
          <w:left w:w="28" w:type="dxa"/>
          <w:bottom w:w="28" w:type="dxa"/>
          <w:right w:w="28" w:type="dxa"/>
        </w:tblCellMar>
      </w:tblPr>
      <w:tblGrid>
        <w:gridCol w:w="946"/>
        <w:gridCol w:w="830"/>
        <w:gridCol w:w="833"/>
        <w:gridCol w:w="211"/>
        <w:gridCol w:w="541"/>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54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Income</w:t>
            </w:r>
            <w:r>
              <w:rPr>
                <w:color w:val="231F20"/>
              </w:rPr>
              <w:t xml:space="preserve"> </w:t>
            </w:r>
            <w:r>
              <w:rPr>
                <w:rFonts w:ascii="Times New Roman;serif" w:hAnsi="Times New Roman;serif"/>
                <w:b w:val="false"/>
                <w:color w:val="231F20"/>
                <w:sz w:val="20"/>
              </w:rPr>
              <w:t>tax</w:t>
            </w:r>
            <w:r>
              <w:rPr>
                <w:color w:val="231F20"/>
              </w:rPr>
              <w:t xml:space="preserve"> </w:t>
            </w:r>
            <w:r>
              <w:rPr>
                <w:rFonts w:ascii="Times New Roman;serif" w:hAnsi="Times New Roman;serif"/>
                <w:b w:val="false"/>
                <w:color w:val="231F20"/>
                <w:sz w:val="20"/>
              </w:rPr>
              <w:t>(benefit)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(160)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120" w:after="120"/>
        <w:ind w:left="0" w:right="0" w:firstLine="450"/>
        <w:jc w:val="both"/>
        <w:rPr/>
      </w:pPr>
      <w:r>
        <w:rPr>
          <w:rFonts w:ascii="Times New Roman;serif" w:hAnsi="Times New Roman;serif"/>
          <w:b w:val="false"/>
          <w:color w:val="231F20"/>
          <w:sz w:val="20"/>
        </w:rPr>
        <w:t>Income</w:t>
      </w:r>
      <w:r>
        <w:rPr>
          <w:color w:val="231F20"/>
        </w:rPr>
        <w:t xml:space="preserve"> </w:t>
      </w:r>
      <w:r>
        <w:rPr>
          <w:rFonts w:ascii="Times New Roman;serif" w:hAnsi="Times New Roman;serif"/>
          <w:b w:val="false"/>
          <w:color w:val="231F20"/>
          <w:sz w:val="20"/>
        </w:rPr>
        <w:t xml:space="preserve">tax (benefit) provision </w:t>
      </w:r>
      <w:r>
        <w:rPr>
          <w:rFonts w:ascii="Times New Roman;serif" w:hAnsi="Times New Roman;serif"/>
          <w:b w:val="false"/>
          <w:color w:val="000000"/>
          <w:sz w:val="20"/>
        </w:rPr>
        <w:t>decreased $2.6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or </w:t>
      </w:r>
      <w:r>
        <w:rPr>
          <w:rFonts w:ascii="Times New Roman;serif" w:hAnsi="Times New Roman;serif"/>
          <w:b w:val="false"/>
          <w:color w:val="000000"/>
          <w:sz w:val="20"/>
        </w:rPr>
        <w:t>160%</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 year ended</w:t>
      </w:r>
      <w:r>
        <w:rPr>
          <w:color w:val="231F20"/>
        </w:rPr>
        <w:t xml:space="preserve">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231F20"/>
          <w:sz w:val="20"/>
        </w:rPr>
        <w:t>compared</w:t>
      </w:r>
      <w:r>
        <w:rPr>
          <w:color w:val="231F20"/>
        </w:rPr>
        <w:t xml:space="preserve"> </w:t>
      </w:r>
      <w:r>
        <w:rPr>
          <w:rFonts w:ascii="Times New Roman;serif" w:hAnsi="Times New Roman;serif"/>
          <w:b w:val="false"/>
          <w:color w:val="231F20"/>
          <w:sz w:val="20"/>
        </w:rPr>
        <w:t xml:space="preserve">to the same period in </w:t>
      </w:r>
      <w:r>
        <w:rPr>
          <w:rFonts w:ascii="Times New Roman;serif" w:hAnsi="Times New Roman;serif"/>
          <w:b w:val="false"/>
          <w:color w:val="000000"/>
          <w:sz w:val="20"/>
        </w:rPr>
        <w:t>2024. The change in income tax (benefit) provision was primarily due to the increase in non-cash stock-based compensation tax deductions, partially offset by the decrease in foreign-derived intangible income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231F20"/>
          <w:sz w:val="20"/>
        </w:rPr>
        <w:t>Non-GAAP</w:t>
      </w:r>
      <w:r>
        <w:rPr>
          <w:color w:val="231F20"/>
        </w:rPr>
        <w:t xml:space="preserve"> </w:t>
      </w:r>
      <w:r>
        <w:rPr>
          <w:rFonts w:ascii="Times New Roman;serif" w:hAnsi="Times New Roman;serif"/>
          <w:b/>
          <w:color w:val="231F20"/>
          <w:sz w:val="20"/>
        </w:rPr>
        <w:t>Financial</w:t>
      </w:r>
      <w:r>
        <w:rPr>
          <w:color w:val="231F20"/>
        </w:rPr>
        <w:t xml:space="preserve"> </w:t>
      </w:r>
      <w:r>
        <w:rPr>
          <w:rFonts w:ascii="Times New Roman;serif" w:hAnsi="Times New Roman;serif"/>
          <w:b/>
          <w:color w:val="231F20"/>
          <w:sz w:val="20"/>
        </w:rPr>
        <w:t>Measures</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This Annual Report on Form 10-K contains certain financial measures that are not presented in accordance with generally accepted accounting principles in the United States (“GAAP”), which we use to supplement the performance measures in our consolidated financial statements, which are presented in accordance with GAAP. We refer to these measures as “non-GAAP financial measures.” These non-GAAP financial measures include non-GAAP gross profit, non-GAAP gross margin, non-GAAP operating income, and non-GAAP net income. We use these non-GAAP financial measures for financial and operational decision-making and as a means to assist us in evaluating period-to-period comparisons. By excluding certain items that may not be indicative of our recurring core operating results, we believe that non-GAAP gross profit, non-GAAP gross margin, non-GAAP operating income, and non-GAAP net income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lineRule="auto" w:line="240" w:before="360" w:after="283"/>
        <w:jc w:val="left"/>
        <w:rPr/>
      </w:pPr>
      <w:r>
        <w:rPr>
          <w:rFonts w:ascii="Times New Roman;serif" w:hAnsi="Times New Roman;serif"/>
          <w:b/>
          <w:i/>
          <w:color w:val="231F20"/>
          <w:sz w:val="20"/>
        </w:rPr>
        <w:t>Non-GAAP</w:t>
      </w:r>
      <w:r>
        <w:rPr>
          <w:color w:val="231F20"/>
        </w:rPr>
        <w:t xml:space="preserve"> </w:t>
      </w:r>
      <w:r>
        <w:rPr>
          <w:rFonts w:ascii="Times New Roman;serif" w:hAnsi="Times New Roman;serif"/>
          <w:b/>
          <w:i/>
          <w:color w:val="231F20"/>
          <w:sz w:val="20"/>
        </w:rPr>
        <w:t>Gross Profit and Non-GAAP Gross Margin</w:t>
      </w:r>
    </w:p>
    <w:p>
      <w:pPr>
        <w:pStyle w:val="TextBody"/>
        <w:bidi w:val="0"/>
        <w:spacing w:lineRule="auto" w:line="288" w:before="120" w:after="120"/>
        <w:ind w:left="0" w:right="0" w:firstLine="450"/>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define</w:t>
      </w:r>
      <w:r>
        <w:rPr>
          <w:color w:val="231F20"/>
        </w:rPr>
        <w:t xml:space="preserve"> </w:t>
      </w:r>
      <w:r>
        <w:rPr>
          <w:rFonts w:ascii="Times New Roman;serif" w:hAnsi="Times New Roman;serif"/>
          <w:b w:val="false"/>
          <w:color w:val="231F20"/>
          <w:sz w:val="20"/>
        </w:rPr>
        <w:t>non-GAAP gross profit as gross profit presented</w:t>
      </w:r>
      <w:r>
        <w:rPr>
          <w:color w:val="231F20"/>
        </w:rPr>
        <w:t xml:space="preserve"> </w:t>
      </w:r>
      <w:r>
        <w:rPr>
          <w:rFonts w:ascii="Times New Roman;serif" w:hAnsi="Times New Roman;serif"/>
          <w:b w:val="false"/>
          <w:color w:val="231F20"/>
          <w:sz w:val="20"/>
        </w:rPr>
        <w:t>in accordance</w:t>
      </w:r>
      <w:r>
        <w:rPr>
          <w:color w:val="231F20"/>
        </w:rPr>
        <w:t xml:space="preserve"> </w:t>
      </w:r>
      <w:r>
        <w:rPr>
          <w:rFonts w:ascii="Times New Roman;serif" w:hAnsi="Times New Roman;serif"/>
          <w:b w:val="false"/>
          <w:color w:val="231F20"/>
          <w:sz w:val="20"/>
        </w:rPr>
        <w:t>with GAAP, adjusted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exclude</w:t>
      </w:r>
      <w:r>
        <w:rPr>
          <w:color w:val="231F20"/>
        </w:rPr>
        <w:t xml:space="preserve"> </w:t>
      </w:r>
      <w:r>
        <w:rPr>
          <w:rFonts w:ascii="Times New Roman;serif" w:hAnsi="Times New Roman;serif"/>
          <w:b w:val="false"/>
          <w:color w:val="231F20"/>
          <w:sz w:val="20"/>
        </w:rPr>
        <w:t>non-cash 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expenses.</w:t>
      </w:r>
      <w:r>
        <w:rPr>
          <w:color w:val="231F20"/>
        </w:rPr>
        <w:t xml:space="preserve"> </w:t>
      </w:r>
      <w:r>
        <w:rPr>
          <w:rFonts w:ascii="Times New Roman;serif" w:hAnsi="Times New Roman;serif"/>
          <w:b w:val="false"/>
          <w:color w:val="231F20"/>
          <w:sz w:val="20"/>
        </w:rPr>
        <w:t>The non-GAAP gross margin is non-GAAP gross profit divided by revenue. 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non-GAAP gross profit because</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consider</w:t>
      </w:r>
      <w:r>
        <w:rPr>
          <w:color w:val="231F20"/>
        </w:rPr>
        <w:t xml:space="preserve"> </w:t>
      </w:r>
      <w:r>
        <w:rPr>
          <w:rFonts w:ascii="Times New Roman;serif" w:hAnsi="Times New Roman;serif"/>
          <w:b w:val="false"/>
          <w:color w:val="231F20"/>
          <w:sz w:val="20"/>
        </w:rPr>
        <w:t>non-GAAP gross profit to</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useful</w:t>
      </w:r>
      <w:r>
        <w:rPr>
          <w:color w:val="231F20"/>
        </w:rPr>
        <w:t xml:space="preserve"> </w:t>
      </w:r>
      <w:r>
        <w:rPr>
          <w:rFonts w:ascii="Times New Roman;serif" w:hAnsi="Times New Roman;serif"/>
          <w:b w:val="false"/>
          <w:color w:val="231F20"/>
          <w:sz w:val="20"/>
        </w:rPr>
        <w:t>metric</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investors</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users</w:t>
      </w:r>
      <w:r>
        <w:rPr>
          <w:color w:val="231F20"/>
        </w:rPr>
        <w:t xml:space="preserve"> </w:t>
      </w:r>
      <w:r>
        <w:rPr>
          <w:rFonts w:ascii="Times New Roman;serif" w:hAnsi="Times New Roman;serif"/>
          <w:b w:val="false"/>
          <w:color w:val="231F20"/>
          <w:sz w:val="20"/>
        </w:rPr>
        <w:t>of our financial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in evaluating</w:t>
      </w:r>
      <w:r>
        <w:rPr>
          <w:color w:val="231F20"/>
        </w:rPr>
        <w:t xml:space="preserve"> </w:t>
      </w:r>
      <w:r>
        <w:rPr>
          <w:rFonts w:ascii="Times New Roman;serif" w:hAnsi="Times New Roman;serif"/>
          <w:b w:val="false"/>
          <w:color w:val="231F20"/>
          <w:sz w:val="20"/>
        </w:rPr>
        <w:t>our operating</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as it</w:t>
      </w:r>
      <w:r>
        <w:rPr>
          <w:color w:val="231F20"/>
        </w:rPr>
        <w:t xml:space="preserve"> </w:t>
      </w:r>
      <w:r>
        <w:rPr>
          <w:rFonts w:ascii="Times New Roman;serif" w:hAnsi="Times New Roman;serif"/>
          <w:b w:val="false"/>
          <w:color w:val="231F20"/>
          <w:sz w:val="20"/>
        </w:rPr>
        <w:t>excludes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impact</w:t>
      </w:r>
      <w:r>
        <w:rPr>
          <w:color w:val="231F20"/>
        </w:rPr>
        <w:t xml:space="preserve"> </w:t>
      </w:r>
      <w:r>
        <w:rPr>
          <w:rFonts w:ascii="Times New Roman;serif" w:hAnsi="Times New Roman;serif"/>
          <w:b w:val="false"/>
          <w:color w:val="231F20"/>
          <w:sz w:val="20"/>
        </w:rPr>
        <w:t>of non-cash stock-based compensation,</w:t>
      </w:r>
      <w:r>
        <w:rPr>
          <w:color w:val="231F20"/>
        </w:rPr>
        <w:t xml:space="preserve"> </w:t>
      </w:r>
      <w:r>
        <w:rPr>
          <w:rFonts w:ascii="Times New Roman;serif" w:hAnsi="Times New Roman;serif"/>
          <w:b w:val="false"/>
          <w:color w:val="231F20"/>
          <w:sz w:val="20"/>
        </w:rPr>
        <w:t>a charge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can vary</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period</w:t>
      </w:r>
      <w:r>
        <w:rPr>
          <w:color w:val="231F20"/>
        </w:rPr>
        <w:t xml:space="preserve"> </w:t>
      </w:r>
      <w:r>
        <w:rPr>
          <w:rFonts w:ascii="Times New Roman;serif" w:hAnsi="Times New Roman;serif"/>
          <w:b w:val="false"/>
          <w:color w:val="231F20"/>
          <w:sz w:val="20"/>
        </w:rPr>
        <w:t>to period</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reasons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unrelated</w:t>
      </w:r>
      <w:r>
        <w:rPr>
          <w:color w:val="231F20"/>
        </w:rPr>
        <w:t xml:space="preserve"> </w:t>
      </w:r>
      <w:r>
        <w:rPr>
          <w:rFonts w:ascii="Times New Roman;serif" w:hAnsi="Times New Roman;serif"/>
          <w:b w:val="false"/>
          <w:color w:val="231F20"/>
          <w:sz w:val="20"/>
        </w:rPr>
        <w:t>to our core operating</w:t>
      </w:r>
      <w:r>
        <w:rPr>
          <w:color w:val="231F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This</w:t>
      </w:r>
      <w:r>
        <w:rPr>
          <w:color w:val="231F20"/>
        </w:rPr>
        <w:t xml:space="preserve"> </w:t>
      </w:r>
      <w:r>
        <w:rPr>
          <w:rFonts w:ascii="Times New Roman;serif" w:hAnsi="Times New Roman;serif"/>
          <w:b w:val="false"/>
          <w:color w:val="231F20"/>
          <w:sz w:val="20"/>
        </w:rPr>
        <w:t>metric</w:t>
      </w:r>
      <w:r>
        <w:rPr>
          <w:color w:val="231F20"/>
        </w:rPr>
        <w:t xml:space="preserve"> </w:t>
      </w:r>
      <w:r>
        <w:rPr>
          <w:rFonts w:ascii="Times New Roman;serif" w:hAnsi="Times New Roman;serif"/>
          <w:b w:val="false"/>
          <w:color w:val="231F20"/>
          <w:sz w:val="20"/>
        </w:rPr>
        <w:t>also</w:t>
      </w:r>
      <w:r>
        <w:rPr>
          <w:color w:val="231F20"/>
        </w:rPr>
        <w:t xml:space="preserve"> </w:t>
      </w:r>
      <w:r>
        <w:rPr>
          <w:rFonts w:ascii="Times New Roman;serif" w:hAnsi="Times New Roman;serif"/>
          <w:b w:val="false"/>
          <w:color w:val="231F20"/>
          <w:sz w:val="20"/>
        </w:rPr>
        <w:t>provides</w:t>
      </w:r>
      <w:r>
        <w:rPr>
          <w:color w:val="231F20"/>
        </w:rPr>
        <w:t xml:space="preserve"> </w:t>
      </w:r>
      <w:r>
        <w:rPr>
          <w:rFonts w:ascii="Times New Roman;serif" w:hAnsi="Times New Roman;serif"/>
          <w:b w:val="false"/>
          <w:color w:val="231F20"/>
          <w:sz w:val="20"/>
        </w:rPr>
        <w:t>investors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users</w:t>
      </w:r>
      <w:r>
        <w:rPr>
          <w:color w:val="231F20"/>
        </w:rPr>
        <w:t xml:space="preserve"> </w:t>
      </w:r>
      <w:r>
        <w:rPr>
          <w:rFonts w:ascii="Times New Roman;serif" w:hAnsi="Times New Roman;serif"/>
          <w:b w:val="false"/>
          <w:color w:val="231F20"/>
          <w:sz w:val="20"/>
        </w:rPr>
        <w:t>of our financial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with an additional</w:t>
      </w:r>
      <w:r>
        <w:rPr>
          <w:color w:val="231F20"/>
        </w:rPr>
        <w:t xml:space="preserve"> </w:t>
      </w:r>
      <w:r>
        <w:rPr>
          <w:rFonts w:ascii="Times New Roman;serif" w:hAnsi="Times New Roman;serif"/>
          <w:b w:val="false"/>
          <w:color w:val="231F20"/>
          <w:sz w:val="20"/>
        </w:rPr>
        <w:t>tool</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eliminate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effects</w:t>
      </w:r>
      <w:r>
        <w:rPr>
          <w:color w:val="231F20"/>
        </w:rPr>
        <w:t xml:space="preserve"> </w:t>
      </w:r>
      <w:r>
        <w:rPr>
          <w:rFonts w:ascii="Times New Roman;serif" w:hAnsi="Times New Roman;serif"/>
          <w:b w:val="false"/>
          <w:color w:val="231F20"/>
          <w:sz w:val="20"/>
        </w:rPr>
        <w:t>of items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vary</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different</w:t>
      </w:r>
      <w:r>
        <w:rPr>
          <w:color w:val="231F20"/>
        </w:rPr>
        <w:t xml:space="preserve"> </w:t>
      </w:r>
      <w:r>
        <w:rPr>
          <w:rFonts w:ascii="Times New Roman;serif" w:hAnsi="Times New Roman;serif"/>
          <w:b w:val="false"/>
          <w:color w:val="231F20"/>
          <w:sz w:val="20"/>
        </w:rPr>
        <w:t>companies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reasons</w:t>
      </w:r>
      <w:r>
        <w:rPr>
          <w:color w:val="231F20"/>
        </w:rPr>
        <w:t xml:space="preserve"> </w:t>
      </w:r>
      <w:r>
        <w:rPr>
          <w:rFonts w:ascii="Times New Roman;serif" w:hAnsi="Times New Roman;serif"/>
          <w:b w:val="false"/>
          <w:color w:val="231F20"/>
          <w:sz w:val="20"/>
        </w:rPr>
        <w:t>unrelated</w:t>
      </w:r>
      <w:r>
        <w:rPr>
          <w:color w:val="231F20"/>
        </w:rPr>
        <w:t xml:space="preserve"> </w:t>
      </w:r>
      <w:r>
        <w:rPr>
          <w:rFonts w:ascii="Times New Roman;serif" w:hAnsi="Times New Roman;serif"/>
          <w:b w:val="false"/>
          <w:color w:val="231F20"/>
          <w:sz w:val="20"/>
        </w:rPr>
        <w:t>to core</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performance.</w:t>
      </w:r>
    </w:p>
    <w:p>
      <w:pPr>
        <w:pStyle w:val="TextBody"/>
        <w:bidi w:val="0"/>
        <w:spacing w:lineRule="auto" w:line="288" w:before="120" w:after="120"/>
        <w:ind w:left="0" w:right="0" w:firstLine="450"/>
        <w:jc w:val="both"/>
        <w:rPr/>
      </w:pP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reconciliation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GAAP gross profit and GAAP gross margin,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directly</w:t>
      </w:r>
      <w:r>
        <w:rPr>
          <w:color w:val="231F20"/>
        </w:rPr>
        <w:t xml:space="preserve"> </w:t>
      </w:r>
      <w:r>
        <w:rPr>
          <w:rFonts w:ascii="Times New Roman;serif" w:hAnsi="Times New Roman;serif"/>
          <w:b w:val="false"/>
          <w:color w:val="231F20"/>
          <w:sz w:val="20"/>
        </w:rPr>
        <w:t>comparable</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measures,</w:t>
      </w:r>
      <w:r>
        <w:rPr>
          <w:color w:val="231F20"/>
        </w:rPr>
        <w:t xml:space="preserve"> </w:t>
      </w:r>
      <w:r>
        <w:rPr>
          <w:rFonts w:ascii="Times New Roman;serif" w:hAnsi="Times New Roman;serif"/>
          <w:b w:val="false"/>
          <w:color w:val="231F20"/>
          <w:sz w:val="20"/>
        </w:rPr>
        <w:t>to non-GAAP</w:t>
      </w:r>
      <w:r>
        <w:rPr>
          <w:color w:val="231F20"/>
        </w:rPr>
        <w:t xml:space="preserve"> </w:t>
      </w:r>
      <w:r>
        <w:rPr>
          <w:rFonts w:ascii="Times New Roman;serif" w:hAnsi="Times New Roman;serif"/>
          <w:b w:val="false"/>
          <w:color w:val="231F20"/>
          <w:sz w:val="20"/>
        </w:rPr>
        <w:t>gross profit</w:t>
      </w:r>
      <w:r>
        <w:rPr>
          <w:color w:val="231F20"/>
        </w:rPr>
        <w:t xml:space="preserve"> </w:t>
      </w:r>
      <w:r>
        <w:rPr>
          <w:rFonts w:ascii="Times New Roman;serif" w:hAnsi="Times New Roman;serif"/>
          <w:b w:val="false"/>
          <w:color w:val="231F20"/>
          <w:sz w:val="20"/>
        </w:rPr>
        <w:t>and non-GAAP gross margin is</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below:</w:t>
      </w:r>
    </w:p>
    <w:tbl>
      <w:tblPr>
        <w:tblW w:w="7255" w:type="dxa"/>
        <w:jc w:val="center"/>
        <w:tblInd w:w="0" w:type="dxa"/>
        <w:tblLayout w:type="fixed"/>
        <w:tblCellMar>
          <w:top w:w="28" w:type="dxa"/>
          <w:left w:w="28" w:type="dxa"/>
          <w:bottom w:w="28" w:type="dxa"/>
          <w:right w:w="28" w:type="dxa"/>
        </w:tblCellMar>
      </w:tblPr>
      <w:tblGrid>
        <w:gridCol w:w="1465"/>
        <w:gridCol w:w="1286"/>
        <w:gridCol w:w="1298"/>
        <w:gridCol w:w="211"/>
        <w:gridCol w:w="826"/>
        <w:gridCol w:w="271"/>
        <w:gridCol w:w="109"/>
        <w:gridCol w:w="109"/>
        <w:gridCol w:w="109"/>
        <w:gridCol w:w="211"/>
        <w:gridCol w:w="826"/>
        <w:gridCol w:w="271"/>
        <w:gridCol w:w="109"/>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263"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 xml:space="preserve">GAAP gross profit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645,261 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302,699 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 xml:space="preserve">expense upon IPO </w:t>
            </w:r>
            <w:r>
              <w:rPr>
                <w:rFonts w:ascii="Times New Roman;serif" w:hAnsi="Times New Roman;serif"/>
                <w:b w:val="false"/>
                <w:color w:val="231F2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646,384 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303,544 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GAAP 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 xml:space="preserve">expense upon IPO </w:t>
            </w:r>
            <w:r>
              <w:rPr>
                <w:rFonts w:ascii="Times New Roman;serif" w:hAnsi="Times New Roman;serif"/>
                <w:b w:val="false"/>
                <w:color w:val="231F2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Non-GAAP gross margin</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Non-cash stock-based compensation expense recognized in connection with the time-based vesting and settlement of RSUs that had previously met the time-based vesting condition and for which the liquidity event vesting condition was satisfied in connection with our IPO.</w:t>
      </w:r>
    </w:p>
    <w:p>
      <w:pPr>
        <w:pStyle w:val="TextBody"/>
        <w:bidi w:val="0"/>
        <w:spacing w:lineRule="auto" w:line="288" w:before="360" w:after="283"/>
        <w:jc w:val="left"/>
        <w:rPr/>
      </w:pPr>
      <w:r>
        <w:rPr>
          <w:rFonts w:ascii="Times New Roman;serif" w:hAnsi="Times New Roman;serif"/>
          <w:b/>
          <w:i/>
          <w:color w:val="231F20"/>
          <w:sz w:val="20"/>
        </w:rPr>
        <w:t>Non-GAAP</w:t>
      </w:r>
      <w:r>
        <w:rPr>
          <w:color w:val="231F20"/>
        </w:rPr>
        <w:t xml:space="preserve"> </w:t>
      </w:r>
      <w:r>
        <w:rPr>
          <w:rFonts w:ascii="Times New Roman;serif" w:hAnsi="Times New Roman;serif"/>
          <w:b/>
          <w:i/>
          <w:color w:val="231F20"/>
          <w:sz w:val="20"/>
        </w:rPr>
        <w:t>Operating</w:t>
      </w:r>
      <w:r>
        <w:rPr>
          <w:color w:val="231F20"/>
        </w:rPr>
        <w:t xml:space="preserve"> </w:t>
      </w:r>
      <w:r>
        <w:rPr>
          <w:rFonts w:ascii="Times New Roman;serif" w:hAnsi="Times New Roman;serif"/>
          <w:b/>
          <w:i/>
          <w:color w:val="231F20"/>
          <w:sz w:val="20"/>
        </w:rPr>
        <w:t>Income and Non-GAAP Operating Margin</w:t>
      </w:r>
    </w:p>
    <w:p>
      <w:pPr>
        <w:pStyle w:val="TextBody"/>
        <w:bidi w:val="0"/>
        <w:spacing w:lineRule="auto" w:line="288" w:before="120" w:after="120"/>
        <w:ind w:left="0" w:right="0" w:firstLine="450"/>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define</w:t>
      </w:r>
      <w:r>
        <w:rPr>
          <w:color w:val="231F20"/>
        </w:rPr>
        <w:t xml:space="preserve"> </w:t>
      </w:r>
      <w:r>
        <w:rPr>
          <w:rFonts w:ascii="Times New Roman;serif" w:hAnsi="Times New Roman;serif"/>
          <w:b w:val="false"/>
          <w:color w:val="231F20"/>
          <w:sz w:val="20"/>
        </w:rPr>
        <w:t>non-GAAP operating</w:t>
      </w:r>
      <w:r>
        <w:rPr>
          <w:color w:val="231F20"/>
        </w:rPr>
        <w:t xml:space="preserve"> </w:t>
      </w:r>
      <w:r>
        <w:rPr>
          <w:rFonts w:ascii="Times New Roman;serif" w:hAnsi="Times New Roman;serif"/>
          <w:b w:val="false"/>
          <w:color w:val="231F20"/>
          <w:sz w:val="20"/>
        </w:rPr>
        <w:t>income as operating</w:t>
      </w:r>
      <w:r>
        <w:rPr>
          <w:color w:val="231F20"/>
        </w:rPr>
        <w:t xml:space="preserve"> </w:t>
      </w:r>
      <w:r>
        <w:rPr>
          <w:rFonts w:ascii="Times New Roman;serif" w:hAnsi="Times New Roman;serif"/>
          <w:b w:val="false"/>
          <w:color w:val="231F20"/>
          <w:sz w:val="20"/>
        </w:rPr>
        <w:t>income (loss)</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in accordance</w:t>
      </w:r>
      <w:r>
        <w:rPr>
          <w:color w:val="231F20"/>
        </w:rPr>
        <w:t xml:space="preserve"> </w:t>
      </w:r>
      <w:r>
        <w:rPr>
          <w:rFonts w:ascii="Times New Roman;serif" w:hAnsi="Times New Roman;serif"/>
          <w:b w:val="false"/>
          <w:color w:val="231F20"/>
          <w:sz w:val="20"/>
        </w:rPr>
        <w:t>with GAAP, adjusted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exclude</w:t>
      </w:r>
      <w:r>
        <w:rPr>
          <w:color w:val="231F20"/>
        </w:rPr>
        <w:t xml:space="preserve"> </w:t>
      </w:r>
      <w:r>
        <w:rPr>
          <w:rFonts w:ascii="Times New Roman;serif" w:hAnsi="Times New Roman;serif"/>
          <w:b w:val="false"/>
          <w:color w:val="231F20"/>
          <w:sz w:val="20"/>
        </w:rPr>
        <w:t>non-cash 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expenses, acquisition-related costs, and employer payroll taxes related to the time-based vesting and net settlement of RSUs with a liquidity event-based vesting condition that was satisfied in connection with the IPO.</w:t>
      </w:r>
      <w:r>
        <w:rPr>
          <w:color w:val="231F20"/>
        </w:rPr>
        <w:t xml:space="preserve"> </w:t>
      </w:r>
      <w:r>
        <w:rPr>
          <w:rFonts w:ascii="Times New Roman;serif" w:hAnsi="Times New Roman;serif"/>
          <w:b w:val="false"/>
          <w:color w:val="231F20"/>
          <w:sz w:val="20"/>
        </w:rPr>
        <w:t>We define non-GAAP operating margin as non-GAAP operating income divided by revenue. 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non-GAAP operating</w:t>
      </w:r>
      <w:r>
        <w:rPr>
          <w:color w:val="231F20"/>
        </w:rPr>
        <w:t xml:space="preserve"> </w:t>
      </w:r>
      <w:r>
        <w:rPr>
          <w:rFonts w:ascii="Times New Roman;serif" w:hAnsi="Times New Roman;serif"/>
          <w:b w:val="false"/>
          <w:color w:val="231F20"/>
          <w:sz w:val="20"/>
        </w:rPr>
        <w:t>income and non-GAAP operating margin because</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consider them</w:t>
      </w:r>
      <w:r>
        <w:rPr>
          <w:color w:val="231F20"/>
        </w:rPr>
        <w:t xml:space="preserve"> </w:t>
      </w:r>
      <w:r>
        <w:rPr>
          <w:rFonts w:ascii="Times New Roman;serif" w:hAnsi="Times New Roman;serif"/>
          <w:b w:val="false"/>
          <w:color w:val="231F20"/>
          <w:sz w:val="20"/>
        </w:rPr>
        <w:t>useful</w:t>
      </w:r>
      <w:r>
        <w:rPr>
          <w:color w:val="231F20"/>
        </w:rPr>
        <w:t xml:space="preserve"> </w:t>
      </w:r>
      <w:r>
        <w:rPr>
          <w:rFonts w:ascii="Times New Roman;serif" w:hAnsi="Times New Roman;serif"/>
          <w:b w:val="false"/>
          <w:color w:val="231F20"/>
          <w:sz w:val="20"/>
        </w:rPr>
        <w:t>metrics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investors</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users</w:t>
      </w:r>
      <w:r>
        <w:rPr>
          <w:color w:val="231F20"/>
        </w:rPr>
        <w:t xml:space="preserve"> </w:t>
      </w:r>
      <w:r>
        <w:rPr>
          <w:rFonts w:ascii="Times New Roman;serif" w:hAnsi="Times New Roman;serif"/>
          <w:b w:val="false"/>
          <w:color w:val="231F20"/>
          <w:sz w:val="20"/>
        </w:rPr>
        <w:t>of our financial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in evaluating</w:t>
      </w:r>
      <w:r>
        <w:rPr>
          <w:color w:val="231F20"/>
        </w:rPr>
        <w:t xml:space="preserve"> </w:t>
      </w:r>
      <w:r>
        <w:rPr>
          <w:rFonts w:ascii="Times New Roman;serif" w:hAnsi="Times New Roman;serif"/>
          <w:b w:val="false"/>
          <w:color w:val="231F20"/>
          <w:sz w:val="20"/>
        </w:rPr>
        <w:t>our operating</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it</w:t>
      </w:r>
      <w:r>
        <w:rPr>
          <w:color w:val="231F20"/>
        </w:rPr>
        <w:t xml:space="preserve"> </w:t>
      </w:r>
      <w:r>
        <w:rPr>
          <w:rFonts w:ascii="Times New Roman;serif" w:hAnsi="Times New Roman;serif"/>
          <w:b w:val="false"/>
          <w:color w:val="231F20"/>
          <w:sz w:val="20"/>
        </w:rPr>
        <w:t>excludes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impact</w:t>
      </w:r>
      <w:r>
        <w:rPr>
          <w:color w:val="231F20"/>
        </w:rPr>
        <w:t xml:space="preserve"> </w:t>
      </w:r>
      <w:r>
        <w:rPr>
          <w:rFonts w:ascii="Times New Roman;serif" w:hAnsi="Times New Roman;serif"/>
          <w:b w:val="false"/>
          <w:color w:val="231F20"/>
          <w:sz w:val="20"/>
        </w:rPr>
        <w:t>of non-cash stock-based compensation expense, acquisition-related costs, and employer payroll taxes related to the time-based vesting and net settlement of RSUs in connection with our IPO, a charge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can vary</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period</w:t>
      </w:r>
      <w:r>
        <w:rPr>
          <w:color w:val="231F20"/>
        </w:rPr>
        <w:t xml:space="preserve"> </w:t>
      </w:r>
      <w:r>
        <w:rPr>
          <w:rFonts w:ascii="Times New Roman;serif" w:hAnsi="Times New Roman;serif"/>
          <w:b w:val="false"/>
          <w:color w:val="231F20"/>
          <w:sz w:val="20"/>
        </w:rPr>
        <w:t>to period</w:t>
      </w:r>
      <w:r>
        <w:rPr>
          <w:color w:val="231F20"/>
        </w:rPr>
        <w:t xml:space="preserve"> </w:t>
      </w:r>
      <w:r>
        <w:rPr>
          <w:rFonts w:ascii="Times New Roman;serif" w:hAnsi="Times New Roman;serif"/>
          <w:b w:val="false"/>
          <w:color w:val="231F20"/>
          <w:sz w:val="20"/>
        </w:rPr>
        <w:t>or are one time charges for</w:t>
      </w:r>
      <w:r>
        <w:rPr>
          <w:color w:val="231F20"/>
        </w:rPr>
        <w:t xml:space="preserve"> </w:t>
      </w:r>
      <w:r>
        <w:rPr>
          <w:rFonts w:ascii="Times New Roman;serif" w:hAnsi="Times New Roman;serif"/>
          <w:b w:val="false"/>
          <w:color w:val="231F20"/>
          <w:sz w:val="20"/>
        </w:rPr>
        <w:t>reasons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unrelated</w:t>
      </w:r>
      <w:r>
        <w:rPr>
          <w:color w:val="231F20"/>
        </w:rPr>
        <w:t xml:space="preserve"> </w:t>
      </w:r>
      <w:r>
        <w:rPr>
          <w:rFonts w:ascii="Times New Roman;serif" w:hAnsi="Times New Roman;serif"/>
          <w:b w:val="false"/>
          <w:color w:val="231F20"/>
          <w:sz w:val="20"/>
        </w:rPr>
        <w:t>to our core operating</w:t>
      </w:r>
      <w:r>
        <w:rPr>
          <w:color w:val="231F20"/>
        </w:rPr>
        <w:t xml:space="preserve"> </w:t>
      </w:r>
      <w:r>
        <w:rPr>
          <w:rFonts w:ascii="Times New Roman;serif" w:hAnsi="Times New Roman;serif"/>
          <w:b w:val="false"/>
          <w:color w:val="231F20"/>
          <w:sz w:val="20"/>
        </w:rPr>
        <w:t>performance.</w:t>
      </w:r>
      <w:r>
        <w:rPr>
          <w:color w:val="231F20"/>
        </w:rPr>
        <w:t xml:space="preserve"> </w:t>
      </w:r>
      <w:r>
        <w:rPr>
          <w:rFonts w:ascii="Times New Roman;serif" w:hAnsi="Times New Roman;serif"/>
          <w:b w:val="false"/>
          <w:color w:val="231F20"/>
          <w:sz w:val="20"/>
        </w:rPr>
        <w:t>These</w:t>
      </w:r>
      <w:r>
        <w:rPr>
          <w:color w:val="231F20"/>
        </w:rPr>
        <w:t xml:space="preserve"> </w:t>
      </w:r>
      <w:r>
        <w:rPr>
          <w:rFonts w:ascii="Times New Roman;serif" w:hAnsi="Times New Roman;serif"/>
          <w:b w:val="false"/>
          <w:color w:val="231F20"/>
          <w:sz w:val="20"/>
        </w:rPr>
        <w:t>metrics</w:t>
      </w:r>
      <w:r>
        <w:rPr>
          <w:color w:val="231F20"/>
        </w:rPr>
        <w:t xml:space="preserve"> </w:t>
      </w:r>
      <w:r>
        <w:rPr>
          <w:rFonts w:ascii="Times New Roman;serif" w:hAnsi="Times New Roman;serif"/>
          <w:b w:val="false"/>
          <w:color w:val="231F20"/>
          <w:sz w:val="20"/>
        </w:rPr>
        <w:t>also</w:t>
      </w:r>
      <w:r>
        <w:rPr>
          <w:color w:val="231F20"/>
        </w:rPr>
        <w:t xml:space="preserve"> </w:t>
      </w:r>
      <w:r>
        <w:rPr>
          <w:rFonts w:ascii="Times New Roman;serif" w:hAnsi="Times New Roman;serif"/>
          <w:b w:val="false"/>
          <w:color w:val="231F20"/>
          <w:sz w:val="20"/>
        </w:rPr>
        <w:t>provide</w:t>
      </w:r>
      <w:r>
        <w:rPr>
          <w:color w:val="231F20"/>
        </w:rPr>
        <w:t xml:space="preserve"> </w:t>
      </w:r>
      <w:r>
        <w:rPr>
          <w:rFonts w:ascii="Times New Roman;serif" w:hAnsi="Times New Roman;serif"/>
          <w:b w:val="false"/>
          <w:color w:val="231F20"/>
          <w:sz w:val="20"/>
        </w:rPr>
        <w:t>investors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other</w:t>
      </w:r>
      <w:r>
        <w:rPr>
          <w:color w:val="231F20"/>
        </w:rPr>
        <w:t xml:space="preserve"> </w:t>
      </w:r>
      <w:r>
        <w:rPr>
          <w:rFonts w:ascii="Times New Roman;serif" w:hAnsi="Times New Roman;serif"/>
          <w:b w:val="false"/>
          <w:color w:val="231F20"/>
          <w:sz w:val="20"/>
        </w:rPr>
        <w:t>users</w:t>
      </w:r>
      <w:r>
        <w:rPr>
          <w:color w:val="231F20"/>
        </w:rPr>
        <w:t xml:space="preserve"> </w:t>
      </w:r>
      <w:r>
        <w:rPr>
          <w:rFonts w:ascii="Times New Roman;serif" w:hAnsi="Times New Roman;serif"/>
          <w:b w:val="false"/>
          <w:color w:val="231F20"/>
          <w:sz w:val="20"/>
        </w:rPr>
        <w:t>of our financial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with an additional</w:t>
      </w:r>
      <w:r>
        <w:rPr>
          <w:color w:val="231F20"/>
        </w:rPr>
        <w:t xml:space="preserve"> </w:t>
      </w:r>
      <w:r>
        <w:rPr>
          <w:rFonts w:ascii="Times New Roman;serif" w:hAnsi="Times New Roman;serif"/>
          <w:b w:val="false"/>
          <w:color w:val="231F20"/>
          <w:sz w:val="20"/>
        </w:rPr>
        <w:t>tool to eliminate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effects</w:t>
      </w:r>
      <w:r>
        <w:rPr>
          <w:color w:val="231F20"/>
        </w:rPr>
        <w:t xml:space="preserve"> </w:t>
      </w:r>
      <w:r>
        <w:rPr>
          <w:rFonts w:ascii="Times New Roman;serif" w:hAnsi="Times New Roman;serif"/>
          <w:b w:val="false"/>
          <w:color w:val="231F20"/>
          <w:sz w:val="20"/>
        </w:rPr>
        <w:t>of items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vary</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different</w:t>
      </w:r>
      <w:r>
        <w:rPr>
          <w:color w:val="231F20"/>
        </w:rPr>
        <w:t xml:space="preserve"> </w:t>
      </w:r>
      <w:r>
        <w:rPr>
          <w:rFonts w:ascii="Times New Roman;serif" w:hAnsi="Times New Roman;serif"/>
          <w:b w:val="false"/>
          <w:color w:val="231F20"/>
          <w:sz w:val="20"/>
        </w:rPr>
        <w:t>companies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reasons</w:t>
      </w:r>
      <w:r>
        <w:rPr>
          <w:color w:val="231F20"/>
        </w:rPr>
        <w:t xml:space="preserve"> </w:t>
      </w:r>
      <w:r>
        <w:rPr>
          <w:rFonts w:ascii="Times New Roman;serif" w:hAnsi="Times New Roman;serif"/>
          <w:b w:val="false"/>
          <w:color w:val="231F20"/>
          <w:sz w:val="20"/>
        </w:rPr>
        <w:t>unrelated</w:t>
      </w:r>
      <w:r>
        <w:rPr>
          <w:color w:val="231F20"/>
        </w:rPr>
        <w:t xml:space="preserve"> </w:t>
      </w:r>
      <w:r>
        <w:rPr>
          <w:rFonts w:ascii="Times New Roman;serif" w:hAnsi="Times New Roman;serif"/>
          <w:b w:val="false"/>
          <w:color w:val="231F20"/>
          <w:sz w:val="20"/>
        </w:rPr>
        <w:t>to core</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both"/>
        <w:rPr/>
      </w:pP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reconciliation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operating income (loss) and GAAP operating margin,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directly</w:t>
      </w:r>
      <w:r>
        <w:rPr>
          <w:color w:val="231F20"/>
        </w:rPr>
        <w:t xml:space="preserve"> </w:t>
      </w:r>
      <w:r>
        <w:rPr>
          <w:rFonts w:ascii="Times New Roman;serif" w:hAnsi="Times New Roman;serif"/>
          <w:b w:val="false"/>
          <w:color w:val="231F20"/>
          <w:sz w:val="20"/>
        </w:rPr>
        <w:t>comparable</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measures,</w:t>
      </w:r>
      <w:r>
        <w:rPr>
          <w:color w:val="231F20"/>
        </w:rPr>
        <w:t xml:space="preserve"> </w:t>
      </w:r>
      <w:r>
        <w:rPr>
          <w:rFonts w:ascii="Times New Roman;serif" w:hAnsi="Times New Roman;serif"/>
          <w:b w:val="false"/>
          <w:color w:val="231F20"/>
          <w:sz w:val="20"/>
        </w:rPr>
        <w:t>to non-GAAP</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income and non-GAAP operating margin is</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below:</w:t>
      </w:r>
    </w:p>
    <w:tbl>
      <w:tblPr>
        <w:tblW w:w="9318" w:type="dxa"/>
        <w:jc w:val="center"/>
        <w:tblInd w:w="0" w:type="dxa"/>
        <w:tblLayout w:type="fixed"/>
        <w:tblCellMar>
          <w:top w:w="28" w:type="dxa"/>
          <w:left w:w="28" w:type="dxa"/>
          <w:bottom w:w="28" w:type="dxa"/>
          <w:right w:w="28" w:type="dxa"/>
        </w:tblCellMar>
      </w:tblPr>
      <w:tblGrid>
        <w:gridCol w:w="2104"/>
        <w:gridCol w:w="1851"/>
        <w:gridCol w:w="1864"/>
        <w:gridCol w:w="211"/>
        <w:gridCol w:w="826"/>
        <w:gridCol w:w="271"/>
        <w:gridCol w:w="109"/>
        <w:gridCol w:w="109"/>
        <w:gridCol w:w="109"/>
        <w:gridCol w:w="211"/>
        <w:gridCol w:w="901"/>
        <w:gridCol w:w="271"/>
        <w:gridCol w:w="109"/>
        <w:gridCol w:w="109"/>
        <w:gridCol w:w="109"/>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231F20"/>
                <w:sz w:val="16"/>
              </w:rPr>
              <w:t>(in</w:t>
            </w:r>
            <w:r>
              <w:rPr>
                <w:color w:val="231F20"/>
              </w:rPr>
              <w:t xml:space="preserve"> </w:t>
            </w:r>
            <w:r>
              <w:rPr>
                <w:rFonts w:ascii="Times New Roman;serif" w:hAnsi="Times New Roman;serif"/>
                <w:b/>
                <w:color w:val="231F20"/>
                <w:sz w:val="16"/>
              </w:rPr>
              <w:t>thousands,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231F20"/>
                <w:sz w:val="20"/>
              </w:rPr>
              <w:t>GAAP</w:t>
            </w:r>
            <w:r>
              <w:rPr>
                <w:color w:val="231F20"/>
              </w:rPr>
              <w:t xml:space="preserve"> </w:t>
            </w:r>
            <w:r>
              <w:rPr>
                <w:rFonts w:ascii="Times New Roman;serif" w:hAnsi="Times New Roman;serif"/>
                <w:b/>
                <w:color w:val="231F20"/>
                <w:sz w:val="20"/>
              </w:rPr>
              <w:t>operating</w:t>
            </w:r>
            <w:r>
              <w:rPr>
                <w:color w:val="231F20"/>
              </w:rPr>
              <w:t xml:space="preserve"> </w:t>
            </w:r>
            <w:r>
              <w:rPr>
                <w:rFonts w:ascii="Times New Roman;serif" w:hAnsi="Times New Roman;serif"/>
                <w:b/>
                <w:color w:val="231F20"/>
                <w:sz w:val="20"/>
              </w:rPr>
              <w:t>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173,423 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 xml:space="preserve">expense upon IPO </w:t>
            </w:r>
            <w:r>
              <w:rPr>
                <w:rFonts w:ascii="Times New Roman;serif" w:hAnsi="Times New Roman;serif"/>
                <w:b w:val="false"/>
                <w:color w:val="231F2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88,873 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160,033 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145,715 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Acquisition-related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Employer payroll tax related to stock-based compensation from IPO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Non-GAAP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334,406 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119,594 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231F20"/>
                <w:sz w:val="20"/>
              </w:rPr>
              <w:t>GAAP</w:t>
            </w:r>
            <w:r>
              <w:rPr>
                <w:color w:val="231F20"/>
              </w:rPr>
              <w:t xml:space="preserve"> </w:t>
            </w:r>
            <w:r>
              <w:rPr>
                <w:rFonts w:ascii="Times New Roman;serif" w:hAnsi="Times New Roman;serif"/>
                <w:b/>
                <w:color w:val="231F20"/>
                <w:sz w:val="20"/>
              </w:rPr>
              <w:t>operating</w:t>
            </w:r>
            <w:r>
              <w:rPr>
                <w:color w:val="231F20"/>
              </w:rPr>
              <w:t xml:space="preserve"> </w:t>
            </w:r>
            <w:r>
              <w:rPr>
                <w:rFonts w:ascii="Times New Roman;serif" w:hAnsi="Times New Roman;serif"/>
                <w:b/>
                <w:color w:val="231F20"/>
                <w:sz w:val="20"/>
              </w:rPr>
              <w:t>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 xml:space="preserve">expense upon IPO </w:t>
            </w:r>
            <w:r>
              <w:rPr>
                <w:rFonts w:ascii="Times New Roman;serif" w:hAnsi="Times New Roman;serif"/>
                <w:b w:val="false"/>
                <w:color w:val="231F2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Employer payroll tax related to stock-based compensation from IPO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Non-GAAP operating margin</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(1) Non-cash stock-based compensation expense recognized in connection with the time-based vesting and settlement of RSUs that had previously met the time-based vesting condition and for which the liquidity event vesting condition was satisfied in connection with our IPO.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Acquisition-related costs include certain incremental expenses incurred to effect a business combination such as third-party costs: advisory, legal, accounting, valuation, and other professional fees.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(3) Employer payroll taxes related to the time-based vesting and settlement of RSUs that had previously met the time-based vesting condition and for which the liquidity event vesting condition was satisfied in connection with our IPO.</w:t>
      </w:r>
    </w:p>
    <w:p>
      <w:pPr>
        <w:pStyle w:val="TextBody"/>
        <w:bidi w:val="0"/>
        <w:spacing w:lineRule="auto" w:line="288" w:before="240" w:after="283"/>
        <w:jc w:val="left"/>
        <w:rPr/>
      </w:pPr>
      <w:r>
        <w:rPr>
          <w:rFonts w:ascii="Times New Roman;serif" w:hAnsi="Times New Roman;serif"/>
          <w:b/>
          <w:i/>
          <w:color w:val="231F20"/>
          <w:sz w:val="20"/>
        </w:rPr>
        <w:t>Non-GAAP</w:t>
      </w:r>
      <w:r>
        <w:rPr>
          <w:color w:val="231F20"/>
        </w:rPr>
        <w:t xml:space="preserve"> </w:t>
      </w:r>
      <w:r>
        <w:rPr>
          <w:rFonts w:ascii="Times New Roman;serif" w:hAnsi="Times New Roman;serif"/>
          <w:b/>
          <w:i/>
          <w:color w:val="231F20"/>
          <w:sz w:val="20"/>
        </w:rPr>
        <w:t xml:space="preserve">Net Income </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monitor non-GAAP net income for planning and performance measurement purposes. We define non-GAAP net income as net income (loss) presented in accordance with GAAP on our consolidated statements of operations, excluding the impact of non-cash stock-based compensation expenses, acquisition-related costs, employer payroll taxes related to the time-based vesting and net settlement of RSUs with a liquidity event-based vesting condition that was satisfied in connection with our IPO, and the related tax impact on the adjustments. We have presented non-GAAP net income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50"/>
        <w:jc w:val="both"/>
        <w:rPr/>
      </w:pP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reconciliation</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net income (loss),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directly</w:t>
      </w:r>
      <w:r>
        <w:rPr>
          <w:color w:val="231F20"/>
        </w:rPr>
        <w:t xml:space="preserve"> </w:t>
      </w:r>
      <w:r>
        <w:rPr>
          <w:rFonts w:ascii="Times New Roman;serif" w:hAnsi="Times New Roman;serif"/>
          <w:b w:val="false"/>
          <w:color w:val="231F20"/>
          <w:sz w:val="20"/>
        </w:rPr>
        <w:t>comparable</w:t>
      </w:r>
      <w:r>
        <w:rPr>
          <w:color w:val="231F20"/>
        </w:rPr>
        <w:t xml:space="preserve"> </w:t>
      </w:r>
      <w:r>
        <w:rPr>
          <w:rFonts w:ascii="Times New Roman;serif" w:hAnsi="Times New Roman;serif"/>
          <w:b w:val="false"/>
          <w:color w:val="231F20"/>
          <w:sz w:val="20"/>
        </w:rPr>
        <w:t>GAAP</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measure,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our non-GAAP</w:t>
      </w:r>
      <w:r>
        <w:rPr>
          <w:color w:val="231F20"/>
        </w:rPr>
        <w:t xml:space="preserve"> </w:t>
      </w: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income is</w:t>
      </w:r>
      <w:r>
        <w:rPr>
          <w:color w:val="231F20"/>
        </w:rPr>
        <w:t xml:space="preserve"> </w:t>
      </w:r>
      <w:r>
        <w:rPr>
          <w:rFonts w:ascii="Times New Roman;serif" w:hAnsi="Times New Roman;serif"/>
          <w:b w:val="false"/>
          <w:color w:val="231F20"/>
          <w:sz w:val="20"/>
        </w:rPr>
        <w:t>presented</w:t>
      </w:r>
      <w:r>
        <w:rPr>
          <w:color w:val="231F20"/>
        </w:rPr>
        <w:t xml:space="preserve"> </w:t>
      </w:r>
      <w:r>
        <w:rPr>
          <w:rFonts w:ascii="Times New Roman;serif" w:hAnsi="Times New Roman;serif"/>
          <w:b w:val="false"/>
          <w:color w:val="231F20"/>
          <w:sz w:val="20"/>
        </w:rPr>
        <w:t>below:</w:t>
      </w:r>
    </w:p>
    <w:p>
      <w:pPr>
        <w:pStyle w:val="TextBody"/>
        <w:bidi w:val="0"/>
        <w:spacing w:before="240" w:after="283"/>
        <w:jc w:val="center"/>
        <w:rPr/>
      </w:pPr>
      <w:r>
        <w:rPr/>
      </w:r>
    </w:p>
    <w:tbl>
      <w:tblPr>
        <w:tblW w:w="8701" w:type="dxa"/>
        <w:jc w:val="center"/>
        <w:tblInd w:w="0" w:type="dxa"/>
        <w:tblLayout w:type="fixed"/>
        <w:tblCellMar>
          <w:top w:w="28" w:type="dxa"/>
          <w:left w:w="28" w:type="dxa"/>
          <w:bottom w:w="28" w:type="dxa"/>
          <w:right w:w="28" w:type="dxa"/>
        </w:tblCellMar>
      </w:tblPr>
      <w:tblGrid>
        <w:gridCol w:w="2103"/>
        <w:gridCol w:w="1850"/>
        <w:gridCol w:w="1866"/>
        <w:gridCol w:w="211"/>
        <w:gridCol w:w="826"/>
        <w:gridCol w:w="109"/>
        <w:gridCol w:w="109"/>
        <w:gridCol w:w="109"/>
        <w:gridCol w:w="109"/>
        <w:gridCol w:w="211"/>
        <w:gridCol w:w="826"/>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231F20"/>
                <w:sz w:val="16"/>
              </w:rPr>
              <w:t>(in</w:t>
            </w:r>
            <w:r>
              <w:rPr>
                <w:color w:val="231F20"/>
              </w:rPr>
              <w:t xml:space="preserve"> </w:t>
            </w:r>
            <w:r>
              <w:rPr>
                <w:rFonts w:ascii="Times New Roman;serif" w:hAnsi="Times New Roman;serif"/>
                <w:b/>
                <w:color w:val="231F20"/>
                <w:sz w:val="16"/>
              </w:rPr>
              <w:t>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231F20"/>
                <w:sz w:val="20"/>
              </w:rPr>
              <w:t>GAAP</w:t>
            </w:r>
            <w:r>
              <w:rPr>
                <w:color w:val="231F20"/>
              </w:rPr>
              <w:t xml:space="preserve"> </w:t>
            </w:r>
            <w:r>
              <w:rPr>
                <w:rFonts w:ascii="Times New Roman;serif" w:hAnsi="Times New Roman;serif"/>
                <w:b/>
                <w:color w:val="231F20"/>
                <w:sz w:val="20"/>
              </w:rPr>
              <w:t>net</w:t>
            </w:r>
            <w:r>
              <w:rPr>
                <w:color w:val="231F20"/>
              </w:rPr>
              <w:t xml:space="preserve"> </w:t>
            </w:r>
            <w:r>
              <w:rPr>
                <w:rFonts w:ascii="Times New Roman;serif" w:hAnsi="Times New Roman;serif"/>
                <w:b/>
                <w:color w:val="231F20"/>
                <w:sz w:val="20"/>
              </w:rPr>
              <w:t>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219,134 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 xml:space="preserve">Stock-based compensation expense upon IPO </w:t>
            </w:r>
            <w:r>
              <w:rPr>
                <w:rFonts w:ascii="Times New Roman;serif" w:hAnsi="Times New Roman;serif"/>
                <w:b w:val="false"/>
                <w:color w:val="231F2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160,033 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Employer payroll tax related to stock-based compensation from IPO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Income tax effect</w:t>
            </w:r>
            <w:r>
              <w:rPr>
                <w:color w:val="000000"/>
              </w:rPr>
              <w:t xml:space="preserve"> </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(49,102)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(8,910)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 xml:space="preserve">Non-GAAP 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331,015 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143,329 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Non-cash stock-based compensation expense recognized in connection with the time-based vesting and settlement of RSUs that had previously met the time-based vesting condition and for which the liquidity event vesting condition was satisfied in connection with our IPO.</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Acquisition-related costs include certain incremental expenses incurred to effect a business combination such as third-party costs: advisory, legal, accounting, valuation, and other professional fees.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(3) Employer payroll taxes related to the time-based vesting and settlement of RSUs that had previously met the time-based vesting condition and for which the liquidity event vesting condition was satisfied in connection with our IPO.</w:t>
      </w:r>
    </w:p>
    <w:p>
      <w:pPr>
        <w:pStyle w:val="TextBody"/>
        <w:bidi w:val="0"/>
        <w:spacing w:lineRule="auto" w:line="288" w:before="120" w:after="120"/>
        <w:ind w:left="0" w:right="0" w:firstLine="450"/>
        <w:jc w:val="both"/>
        <w:rPr/>
      </w:pPr>
      <w:r>
        <w:rPr>
          <w:rFonts w:ascii="Times New Roman;serif" w:hAnsi="Times New Roman;serif"/>
          <w:b w:val="false"/>
          <w:color w:val="000000"/>
          <w:sz w:val="20"/>
        </w:rPr>
        <w:t xml:space="preserve">(4) Income tax </w:t>
      </w:r>
      <w:r>
        <w:rPr>
          <w:rFonts w:ascii="Times New Roman;serif" w:hAnsi="Times New Roman;serif"/>
          <w:b w:val="false"/>
          <w:color w:val="000000"/>
          <w:sz w:val="20"/>
          <w:shd w:fill="FFFFFF" w:val="clear"/>
        </w:rPr>
        <w:t>effect is calculated based on the tax laws in the jurisdictions in which we operate and is calculated to exclude the impact of non-cash s</w:t>
      </w:r>
      <w:r>
        <w:rPr>
          <w:rFonts w:ascii="Times New Roman;serif" w:hAnsi="Times New Roman;serif"/>
          <w:b w:val="false"/>
          <w:color w:val="000000"/>
          <w:sz w:val="20"/>
        </w:rPr>
        <w:t xml:space="preserve">tock-based compensation expense and one-off discrete tax adjustments that are unrelated to our core operating performance. We no longer maintain valuation allowance for non-GAAP purposes due to our profitability on a non-GAAP basis. For the years ended December 31, 2025, and 2024, the non-GAAP tax expense rate was 12.7% and 6.9%,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erif" w:hAnsi="Times New Roman;serif"/>
          <w:b/>
          <w:color w:val="231F20"/>
          <w:sz w:val="20"/>
        </w:rPr>
        <w:t>Liquidity</w:t>
      </w:r>
      <w:r>
        <w:rPr>
          <w:color w:val="231F20"/>
        </w:rPr>
        <w:t xml:space="preserve"> </w:t>
      </w:r>
      <w:r>
        <w:rPr>
          <w:rFonts w:ascii="Times New Roman;serif" w:hAnsi="Times New Roman;serif"/>
          <w:b/>
          <w:color w:val="231F20"/>
          <w:sz w:val="20"/>
        </w:rPr>
        <w:t>and Capital</w:t>
      </w:r>
      <w:r>
        <w:rPr>
          <w:color w:val="231F20"/>
        </w:rPr>
        <w:t xml:space="preserve"> </w:t>
      </w:r>
      <w:r>
        <w:rPr>
          <w:rFonts w:ascii="Times New Roman;serif" w:hAnsi="Times New Roman;serif"/>
          <w:b/>
          <w:color w:val="231F20"/>
          <w:sz w:val="20"/>
        </w:rPr>
        <w:t>Resources</w:t>
      </w:r>
    </w:p>
    <w:p>
      <w:pPr>
        <w:pStyle w:val="TextBody"/>
        <w:bidi w:val="0"/>
        <w:spacing w:lineRule="auto" w:line="288" w:before="120" w:after="120"/>
        <w:ind w:left="0" w:right="0" w:firstLine="450"/>
        <w:jc w:val="both"/>
        <w:rPr/>
      </w:pPr>
      <w:r>
        <w:rPr>
          <w:rFonts w:ascii="Times New Roman;serif" w:hAnsi="Times New Roman;serif"/>
          <w:b w:val="false"/>
          <w:color w:val="231F20"/>
          <w:sz w:val="20"/>
        </w:rPr>
        <w:t>Since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inception,</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financed</w:t>
      </w:r>
      <w:r>
        <w:rPr>
          <w:color w:val="231F20"/>
        </w:rPr>
        <w:t xml:space="preserve"> </w:t>
      </w:r>
      <w:r>
        <w:rPr>
          <w:rFonts w:ascii="Times New Roman;serif" w:hAnsi="Times New Roman;serif"/>
          <w:b w:val="false"/>
          <w:color w:val="231F20"/>
          <w:sz w:val="20"/>
        </w:rPr>
        <w:t>our operations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proceeds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equity issuances including net proceeds from our IPO, and</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generated</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sale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000000"/>
          <w:sz w:val="20"/>
        </w:rPr>
        <w:t>December 31, 2025</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principal</w:t>
      </w:r>
      <w:r>
        <w:rPr>
          <w:color w:val="231F20"/>
        </w:rPr>
        <w:t xml:space="preserve"> </w:t>
      </w:r>
      <w:r>
        <w:rPr>
          <w:rFonts w:ascii="Times New Roman;serif" w:hAnsi="Times New Roman;serif"/>
          <w:b w:val="false"/>
          <w:color w:val="231F20"/>
          <w:sz w:val="20"/>
        </w:rPr>
        <w:t>sources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liquidity</w:t>
      </w:r>
      <w:r>
        <w:rPr>
          <w:color w:val="231F20"/>
        </w:rPr>
        <w:t xml:space="preserve"> </w:t>
      </w:r>
      <w:r>
        <w:rPr>
          <w:rFonts w:ascii="Times New Roman;serif" w:hAnsi="Times New Roman;serif"/>
          <w:b w:val="false"/>
          <w:color w:val="231F20"/>
          <w:sz w:val="20"/>
        </w:rPr>
        <w:t>were</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equivalents,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marketable</w:t>
      </w:r>
      <w:r>
        <w:rPr>
          <w:color w:val="231F20"/>
        </w:rPr>
        <w:t xml:space="preserve"> </w:t>
      </w:r>
      <w:r>
        <w:rPr>
          <w:rFonts w:ascii="Times New Roman;serif" w:hAnsi="Times New Roman;serif"/>
          <w:b w:val="false"/>
          <w:color w:val="231F20"/>
          <w:sz w:val="20"/>
        </w:rPr>
        <w:t>securities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000000"/>
          <w:sz w:val="20"/>
        </w:rPr>
        <w:t>$1.2 billion</w:t>
      </w:r>
      <w:r>
        <w:rPr>
          <w:rFonts w:ascii="Times New Roman;serif" w:hAnsi="Times New Roman;serif"/>
          <w:b w:val="false"/>
          <w:color w:val="231F20"/>
          <w:sz w:val="20"/>
        </w:rPr>
        <w:t>. Our</w:t>
      </w:r>
      <w:r>
        <w:rPr>
          <w:color w:val="231F20"/>
        </w:rPr>
        <w:t xml:space="preserve"> </w:t>
      </w:r>
      <w:r>
        <w:rPr>
          <w:rFonts w:ascii="Times New Roman;serif" w:hAnsi="Times New Roman;serif"/>
          <w:b w:val="false"/>
          <w:color w:val="231F20"/>
          <w:sz w:val="20"/>
        </w:rPr>
        <w:t>principal</w:t>
      </w:r>
      <w:r>
        <w:rPr>
          <w:color w:val="231F20"/>
        </w:rPr>
        <w:t xml:space="preserve"> </w:t>
      </w:r>
      <w:r>
        <w:rPr>
          <w:rFonts w:ascii="Times New Roman;serif" w:hAnsi="Times New Roman;serif"/>
          <w:b w:val="false"/>
          <w:color w:val="231F20"/>
          <w:sz w:val="20"/>
        </w:rPr>
        <w:t>use</w:t>
      </w:r>
      <w:r>
        <w:rPr>
          <w:color w:val="231F20"/>
        </w:rPr>
        <w:t xml:space="preserve"> </w:t>
      </w:r>
      <w:r>
        <w:rPr>
          <w:rFonts w:ascii="Times New Roman;serif" w:hAnsi="Times New Roman;serif"/>
          <w:b w:val="false"/>
          <w:color w:val="231F20"/>
          <w:sz w:val="20"/>
        </w:rPr>
        <w:t>of cash is</w:t>
      </w:r>
      <w:r>
        <w:rPr>
          <w:color w:val="231F20"/>
        </w:rPr>
        <w:t xml:space="preserve"> </w:t>
      </w:r>
      <w:r>
        <w:rPr>
          <w:rFonts w:ascii="Times New Roman;serif" w:hAnsi="Times New Roman;serif"/>
          <w:b w:val="false"/>
          <w:color w:val="231F20"/>
          <w:sz w:val="20"/>
        </w:rPr>
        <w:t>to fund our operations, invest</w:t>
      </w:r>
      <w:r>
        <w:rPr>
          <w:color w:val="231F20"/>
        </w:rPr>
        <w:t xml:space="preserve"> </w:t>
      </w:r>
      <w:r>
        <w:rPr>
          <w:rFonts w:ascii="Times New Roman;serif" w:hAnsi="Times New Roman;serif"/>
          <w:b w:val="false"/>
          <w:color w:val="231F20"/>
          <w:sz w:val="20"/>
        </w:rPr>
        <w:t>in research</w:t>
      </w:r>
      <w:r>
        <w:rPr>
          <w:color w:val="231F20"/>
        </w:rPr>
        <w:t xml:space="preserve"> </w:t>
      </w:r>
      <w:r>
        <w:rPr>
          <w:rFonts w:ascii="Times New Roman;serif" w:hAnsi="Times New Roman;serif"/>
          <w:b w:val="false"/>
          <w:color w:val="231F20"/>
          <w:sz w:val="20"/>
        </w:rPr>
        <w:t>and development, fund capital expenditures for production equipment, and to support</w:t>
      </w:r>
      <w:r>
        <w:rPr>
          <w:color w:val="231F20"/>
        </w:rPr>
        <w:t xml:space="preserve"> </w:t>
      </w:r>
      <w:r>
        <w:rPr>
          <w:rFonts w:ascii="Times New Roman;serif" w:hAnsi="Times New Roman;serif"/>
          <w:b w:val="false"/>
          <w:color w:val="231F20"/>
          <w:sz w:val="20"/>
        </w:rPr>
        <w:t xml:space="preserve">our overall growth. </w:t>
      </w:r>
    </w:p>
    <w:p>
      <w:pPr>
        <w:pStyle w:val="TextBody"/>
        <w:bidi w:val="0"/>
        <w:spacing w:lineRule="auto" w:line="288" w:before="120" w:after="120"/>
        <w:ind w:left="0" w:right="0" w:firstLine="450"/>
        <w:jc w:val="both"/>
        <w:rPr/>
      </w:pPr>
      <w:r>
        <w:rPr>
          <w:rFonts w:ascii="Times New Roman;serif" w:hAnsi="Times New Roman;serif"/>
          <w:b w:val="false"/>
          <w:color w:val="231F20"/>
          <w:sz w:val="20"/>
        </w:rPr>
        <w:t>While 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generated</w:t>
      </w:r>
      <w:r>
        <w:rPr>
          <w:color w:val="231F20"/>
        </w:rPr>
        <w:t xml:space="preserve"> </w:t>
      </w:r>
      <w:r>
        <w:rPr>
          <w:rFonts w:ascii="Times New Roman;serif" w:hAnsi="Times New Roman;serif"/>
          <w:b w:val="false"/>
          <w:color w:val="000000"/>
          <w:sz w:val="20"/>
        </w:rPr>
        <w:t xml:space="preserve">$319.3 million in cash flow from operating activities for the year ended December 31, 2025, in prior years we generated </w:t>
      </w:r>
      <w:r>
        <w:rPr>
          <w:rFonts w:ascii="Times New Roman;serif" w:hAnsi="Times New Roman;serif"/>
          <w:b w:val="false"/>
          <w:color w:val="231F20"/>
          <w:sz w:val="20"/>
        </w:rPr>
        <w:t>significant</w:t>
      </w:r>
      <w:r>
        <w:rPr>
          <w:color w:val="231F20"/>
        </w:rPr>
        <w:t xml:space="preserve"> </w:t>
      </w:r>
      <w:r>
        <w:rPr>
          <w:rFonts w:ascii="Times New Roman;serif" w:hAnsi="Times New Roman;serif"/>
          <w:b w:val="false"/>
          <w:color w:val="231F20"/>
          <w:sz w:val="20"/>
        </w:rPr>
        <w:t>losses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operations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negative</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flows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 xml:space="preserve">activities as reflected in our accumulated deficit </w:t>
      </w:r>
      <w:r>
        <w:rPr>
          <w:rFonts w:ascii="Times New Roman;serif" w:hAnsi="Times New Roman;serif"/>
          <w:b w:val="false"/>
          <w:color w:val="000000"/>
          <w:sz w:val="20"/>
        </w:rPr>
        <w:t>a</w:t>
      </w:r>
      <w:r>
        <w:rPr>
          <w:rFonts w:ascii="Times New Roman;serif" w:hAnsi="Times New Roman;serif"/>
          <w:b w:val="false"/>
          <w:color w:val="231F20"/>
          <w:sz w:val="20"/>
        </w:rPr>
        <w:t>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000000"/>
          <w:sz w:val="20"/>
        </w:rPr>
        <w:t>December 31, 2024</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believe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our current</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cash equivalents,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marketable</w:t>
      </w:r>
      <w:r>
        <w:rPr>
          <w:color w:val="231F20"/>
        </w:rPr>
        <w:t xml:space="preserve"> </w:t>
      </w:r>
      <w:r>
        <w:rPr>
          <w:rFonts w:ascii="Times New Roman;serif" w:hAnsi="Times New Roman;serif"/>
          <w:b w:val="false"/>
          <w:color w:val="231F20"/>
          <w:sz w:val="20"/>
        </w:rPr>
        <w:t>securities</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sufficient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fund</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operations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least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next</w:t>
      </w:r>
      <w:r>
        <w:rPr>
          <w:color w:val="231F20"/>
        </w:rPr>
        <w:t xml:space="preserve"> </w:t>
      </w:r>
      <w:r>
        <w:rPr>
          <w:rFonts w:ascii="Times New Roman;serif" w:hAnsi="Times New Roman;serif"/>
          <w:b w:val="false"/>
          <w:color w:val="231F20"/>
          <w:sz w:val="20"/>
        </w:rPr>
        <w:t>12</w:t>
      </w:r>
      <w:r>
        <w:rPr>
          <w:color w:val="231F20"/>
        </w:rPr>
        <w:t xml:space="preserve"> </w:t>
      </w:r>
      <w:r>
        <w:rPr>
          <w:rFonts w:ascii="Times New Roman;serif" w:hAnsi="Times New Roman;serif"/>
          <w:b w:val="false"/>
          <w:color w:val="231F20"/>
          <w:sz w:val="20"/>
        </w:rPr>
        <w:t>months and beyond. Our</w:t>
      </w:r>
      <w:r>
        <w:rPr>
          <w:color w:val="231F20"/>
        </w:rPr>
        <w:t xml:space="preserve"> </w:t>
      </w:r>
      <w:r>
        <w:rPr>
          <w:rFonts w:ascii="Times New Roman;serif" w:hAnsi="Times New Roman;serif"/>
          <w:b w:val="false"/>
          <w:color w:val="231F20"/>
          <w:sz w:val="20"/>
        </w:rPr>
        <w:t>future</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requirements,</w:t>
      </w:r>
      <w:r>
        <w:rPr>
          <w:color w:val="231F20"/>
        </w:rPr>
        <w:t xml:space="preserve"> </w:t>
      </w:r>
      <w:r>
        <w:rPr>
          <w:rFonts w:ascii="Times New Roman;serif" w:hAnsi="Times New Roman;serif"/>
          <w:b w:val="false"/>
          <w:color w:val="231F20"/>
          <w:sz w:val="20"/>
        </w:rPr>
        <w:t>however,</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depend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many</w:t>
      </w:r>
      <w:r>
        <w:rPr>
          <w:color w:val="231F20"/>
        </w:rPr>
        <w:t xml:space="preserve"> </w:t>
      </w:r>
      <w:r>
        <w:rPr>
          <w:rFonts w:ascii="Times New Roman;serif" w:hAnsi="Times New Roman;serif"/>
          <w:b w:val="false"/>
          <w:color w:val="231F20"/>
          <w:sz w:val="20"/>
        </w:rPr>
        <w:t>factors,</w:t>
      </w:r>
      <w:r>
        <w:rPr>
          <w:color w:val="231F20"/>
        </w:rPr>
        <w:t xml:space="preserve"> </w:t>
      </w:r>
      <w:r>
        <w:rPr>
          <w:rFonts w:ascii="Times New Roman;serif" w:hAnsi="Times New Roman;serif"/>
          <w:b w:val="false"/>
          <w:color w:val="231F20"/>
          <w:sz w:val="20"/>
        </w:rPr>
        <w:t>including</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growth rate,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timing</w:t>
      </w:r>
      <w:r>
        <w:rPr>
          <w:color w:val="231F20"/>
        </w:rPr>
        <w:t xml:space="preserve"> </w:t>
      </w:r>
      <w:r>
        <w:rPr>
          <w:rFonts w:ascii="Times New Roman;serif" w:hAnsi="Times New Roman;serif"/>
          <w:b w:val="false"/>
          <w:color w:val="231F20"/>
          <w:sz w:val="20"/>
        </w:rPr>
        <w:t>and extent</w:t>
      </w:r>
      <w:r>
        <w:rPr>
          <w:color w:val="231F20"/>
        </w:rPr>
        <w:t xml:space="preserve"> </w:t>
      </w:r>
      <w:r>
        <w:rPr>
          <w:rFonts w:ascii="Times New Roman;serif" w:hAnsi="Times New Roman;serif"/>
          <w:b w:val="false"/>
          <w:color w:val="231F20"/>
          <w:sz w:val="20"/>
        </w:rPr>
        <w:t>of our sales</w:t>
      </w:r>
      <w:r>
        <w:rPr>
          <w:color w:val="231F20"/>
        </w:rPr>
        <w:t xml:space="preserve"> </w:t>
      </w:r>
      <w:r>
        <w:rPr>
          <w:rFonts w:ascii="Times New Roman;serif" w:hAnsi="Times New Roman;serif"/>
          <w:b w:val="false"/>
          <w:color w:val="231F20"/>
          <w:sz w:val="20"/>
        </w:rPr>
        <w:t>and marketing</w:t>
      </w:r>
      <w:r>
        <w:rPr>
          <w:color w:val="231F20"/>
        </w:rPr>
        <w:t xml:space="preserve"> </w:t>
      </w:r>
      <w:r>
        <w:rPr>
          <w:rFonts w:ascii="Times New Roman;serif" w:hAnsi="Times New Roman;serif"/>
          <w:b w:val="false"/>
          <w:color w:val="231F20"/>
          <w:sz w:val="20"/>
        </w:rPr>
        <w:t>and research</w:t>
      </w:r>
      <w:r>
        <w:rPr>
          <w:color w:val="231F20"/>
        </w:rPr>
        <w:t xml:space="preserve"> </w:t>
      </w:r>
      <w:r>
        <w:rPr>
          <w:rFonts w:ascii="Times New Roman;serif" w:hAnsi="Times New Roman;serif"/>
          <w:b w:val="false"/>
          <w:color w:val="231F20"/>
          <w:sz w:val="20"/>
        </w:rPr>
        <w:t>and development</w:t>
      </w:r>
      <w:r>
        <w:rPr>
          <w:color w:val="231F20"/>
        </w:rPr>
        <w:t xml:space="preserve"> </w:t>
      </w:r>
      <w:r>
        <w:rPr>
          <w:rFonts w:ascii="Times New Roman;serif" w:hAnsi="Times New Roman;serif"/>
          <w:b w:val="false"/>
          <w:color w:val="231F20"/>
          <w:sz w:val="20"/>
        </w:rPr>
        <w:t>expenditures, capital expenditures for production equipment,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continuing</w:t>
      </w:r>
      <w:r>
        <w:rPr>
          <w:color w:val="231F20"/>
        </w:rPr>
        <w:t xml:space="preserve"> </w:t>
      </w:r>
      <w:r>
        <w:rPr>
          <w:rFonts w:ascii="Times New Roman;serif" w:hAnsi="Times New Roman;serif"/>
          <w:b w:val="false"/>
          <w:color w:val="231F20"/>
          <w:sz w:val="20"/>
        </w:rPr>
        <w:t>market</w:t>
      </w:r>
      <w:r>
        <w:rPr>
          <w:color w:val="231F20"/>
        </w:rPr>
        <w:t xml:space="preserve"> </w:t>
      </w:r>
      <w:r>
        <w:rPr>
          <w:rFonts w:ascii="Times New Roman;serif" w:hAnsi="Times New Roman;serif"/>
          <w:b w:val="false"/>
          <w:color w:val="231F20"/>
          <w:sz w:val="20"/>
        </w:rPr>
        <w:t>acceptance 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use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fund</w:t>
      </w:r>
      <w:r>
        <w:rPr>
          <w:color w:val="231F20"/>
        </w:rPr>
        <w:t xml:space="preserve"> </w:t>
      </w:r>
      <w:r>
        <w:rPr>
          <w:rFonts w:ascii="Times New Roman;serif" w:hAnsi="Times New Roman;serif"/>
          <w:b w:val="false"/>
          <w:color w:val="231F20"/>
          <w:sz w:val="20"/>
        </w:rPr>
        <w:t>potential</w:t>
      </w:r>
      <w:r>
        <w:rPr>
          <w:color w:val="231F20"/>
        </w:rPr>
        <w:t xml:space="preserve"> </w:t>
      </w:r>
      <w:r>
        <w:rPr>
          <w:rFonts w:ascii="Times New Roman;serif" w:hAnsi="Times New Roman;serif"/>
          <w:b w:val="false"/>
          <w:color w:val="231F20"/>
          <w:sz w:val="20"/>
        </w:rPr>
        <w:t>mergers</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acquisitions.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event</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additional financing</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required</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outside</w:t>
      </w:r>
      <w:r>
        <w:rPr>
          <w:color w:val="231F20"/>
        </w:rPr>
        <w:t xml:space="preserve"> </w:t>
      </w:r>
      <w:r>
        <w:rPr>
          <w:rFonts w:ascii="Times New Roman;serif" w:hAnsi="Times New Roman;serif"/>
          <w:b w:val="false"/>
          <w:color w:val="231F20"/>
          <w:sz w:val="20"/>
        </w:rPr>
        <w:t>sources,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seek</w:t>
      </w:r>
      <w:r>
        <w:rPr>
          <w:color w:val="231F20"/>
        </w:rPr>
        <w:t xml:space="preserve"> </w:t>
      </w:r>
      <w:r>
        <w:rPr>
          <w:rFonts w:ascii="Times New Roman;serif" w:hAnsi="Times New Roman;serif"/>
          <w:b w:val="false"/>
          <w:color w:val="231F20"/>
          <w:sz w:val="20"/>
        </w:rPr>
        <w:t>to raise</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funds</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equity,</w:t>
      </w:r>
      <w:r>
        <w:rPr>
          <w:color w:val="231F20"/>
        </w:rPr>
        <w:t xml:space="preserve"> </w:t>
      </w:r>
      <w:r>
        <w:rPr>
          <w:rFonts w:ascii="Times New Roman;serif" w:hAnsi="Times New Roman;serif"/>
          <w:b w:val="false"/>
          <w:color w:val="231F20"/>
          <w:sz w:val="20"/>
        </w:rPr>
        <w:t>equity-linked arrangements,</w:t>
      </w:r>
      <w:r>
        <w:rPr>
          <w:color w:val="231F20"/>
        </w:rPr>
        <w:t xml:space="preserve"> </w:t>
      </w:r>
      <w:r>
        <w:rPr>
          <w:rFonts w:ascii="Times New Roman;serif" w:hAnsi="Times New Roman;serif"/>
          <w:b w:val="false"/>
          <w:color w:val="231F20"/>
          <w:sz w:val="20"/>
        </w:rPr>
        <w:t>and debt.</w:t>
      </w:r>
      <w:r>
        <w:rPr>
          <w:color w:val="231F20"/>
        </w:rPr>
        <w:t xml:space="preserve"> </w:t>
      </w:r>
      <w:r>
        <w:rPr>
          <w:rFonts w:ascii="Times New Roman;serif" w:hAnsi="Times New Roman;serif"/>
          <w:b w:val="false"/>
          <w:color w:val="231F20"/>
          <w:sz w:val="20"/>
        </w:rPr>
        <w:t>If</w:t>
      </w:r>
      <w:r>
        <w:rPr>
          <w:color w:val="231F20"/>
        </w:rPr>
        <w:t xml:space="preserve"> </w:t>
      </w:r>
      <w:r>
        <w:rPr>
          <w:rFonts w:ascii="Times New Roman;serif" w:hAnsi="Times New Roman;serif"/>
          <w:b w:val="false"/>
          <w:color w:val="231F20"/>
          <w:sz w:val="20"/>
        </w:rPr>
        <w:t>we are</w:t>
      </w:r>
      <w:r>
        <w:rPr>
          <w:color w:val="231F20"/>
        </w:rPr>
        <w:t xml:space="preserve"> </w:t>
      </w:r>
      <w:r>
        <w:rPr>
          <w:rFonts w:ascii="Times New Roman;serif" w:hAnsi="Times New Roman;serif"/>
          <w:b w:val="false"/>
          <w:color w:val="231F20"/>
          <w:sz w:val="20"/>
        </w:rPr>
        <w:t>unable</w:t>
      </w:r>
      <w:r>
        <w:rPr>
          <w:color w:val="231F20"/>
        </w:rPr>
        <w:t xml:space="preserve"> </w:t>
      </w:r>
      <w:r>
        <w:rPr>
          <w:rFonts w:ascii="Times New Roman;serif" w:hAnsi="Times New Roman;serif"/>
          <w:b w:val="false"/>
          <w:color w:val="231F20"/>
          <w:sz w:val="20"/>
        </w:rPr>
        <w:t>to raise</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capital</w:t>
      </w:r>
      <w:r>
        <w:rPr>
          <w:color w:val="231F20"/>
        </w:rPr>
        <w:t xml:space="preserve"> </w:t>
      </w:r>
      <w:r>
        <w:rPr>
          <w:rFonts w:ascii="Times New Roman;serif" w:hAnsi="Times New Roman;serif"/>
          <w:b w:val="false"/>
          <w:color w:val="231F20"/>
          <w:sz w:val="20"/>
        </w:rPr>
        <w:t>when desired</w:t>
      </w:r>
      <w:r>
        <w:rPr>
          <w:color w:val="231F20"/>
        </w:rPr>
        <w:t xml:space="preserve"> </w:t>
      </w:r>
      <w:r>
        <w:rPr>
          <w:rFonts w:ascii="Times New Roman;serif" w:hAnsi="Times New Roman;serif"/>
          <w:b w:val="false"/>
          <w:color w:val="231F20"/>
          <w:sz w:val="20"/>
        </w:rPr>
        <w:t>and at reasonable</w:t>
      </w:r>
      <w:r>
        <w:rPr>
          <w:color w:val="231F20"/>
        </w:rPr>
        <w:t xml:space="preserve"> </w:t>
      </w:r>
      <w:r>
        <w:rPr>
          <w:rFonts w:ascii="Times New Roman;serif" w:hAnsi="Times New Roman;serif"/>
          <w:b w:val="false"/>
          <w:color w:val="231F20"/>
          <w:sz w:val="20"/>
        </w:rPr>
        <w:t>rates, our business,</w:t>
      </w:r>
      <w:r>
        <w:rPr>
          <w:color w:val="231F20"/>
        </w:rPr>
        <w:t xml:space="preserve"> </w:t>
      </w:r>
      <w:r>
        <w:rPr>
          <w:rFonts w:ascii="Times New Roman;serif" w:hAnsi="Times New Roman;serif"/>
          <w:b w:val="false"/>
          <w:color w:val="231F20"/>
          <w:sz w:val="20"/>
        </w:rPr>
        <w:t>results</w:t>
      </w:r>
      <w:r>
        <w:rPr>
          <w:color w:val="231F20"/>
        </w:rPr>
        <w:t xml:space="preserve"> </w:t>
      </w:r>
      <w:r>
        <w:rPr>
          <w:rFonts w:ascii="Times New Roman;serif" w:hAnsi="Times New Roman;serif"/>
          <w:b w:val="false"/>
          <w:color w:val="231F20"/>
          <w:sz w:val="20"/>
        </w:rPr>
        <w:t>of operations,</w:t>
      </w:r>
      <w:r>
        <w:rPr>
          <w:color w:val="231F20"/>
        </w:rPr>
        <w:t xml:space="preserve"> </w:t>
      </w:r>
      <w:r>
        <w:rPr>
          <w:rFonts w:ascii="Times New Roman;serif" w:hAnsi="Times New Roman;serif"/>
          <w:b w:val="false"/>
          <w:color w:val="231F20"/>
          <w:sz w:val="20"/>
        </w:rPr>
        <w:t>and financial</w:t>
      </w:r>
      <w:r>
        <w:rPr>
          <w:color w:val="231F20"/>
        </w:rPr>
        <w:t xml:space="preserve"> </w:t>
      </w:r>
      <w:r>
        <w:rPr>
          <w:rFonts w:ascii="Times New Roman;serif" w:hAnsi="Times New Roman;serif"/>
          <w:b w:val="false"/>
          <w:color w:val="231F20"/>
          <w:sz w:val="20"/>
        </w:rPr>
        <w:t>condition</w:t>
      </w:r>
      <w:r>
        <w:rPr>
          <w:color w:val="231F20"/>
        </w:rPr>
        <w:t xml:space="preserve"> </w:t>
      </w:r>
      <w:r>
        <w:rPr>
          <w:rFonts w:ascii="Times New Roman;serif" w:hAnsi="Times New Roman;serif"/>
          <w:b w:val="false"/>
          <w:color w:val="231F20"/>
          <w:sz w:val="20"/>
        </w:rPr>
        <w:t>could</w:t>
      </w:r>
      <w:r>
        <w:rPr>
          <w:color w:val="231F20"/>
        </w:rPr>
        <w:t xml:space="preserve"> </w:t>
      </w:r>
      <w:r>
        <w:rPr>
          <w:rFonts w:ascii="Times New Roman;serif" w:hAnsi="Times New Roman;serif"/>
          <w:b w:val="false"/>
          <w:color w:val="231F20"/>
          <w:sz w:val="20"/>
        </w:rPr>
        <w:t>be adversely</w:t>
      </w:r>
      <w:r>
        <w:rPr>
          <w:color w:val="231F20"/>
        </w:rPr>
        <w:t xml:space="preserve"> </w:t>
      </w:r>
      <w:r>
        <w:rPr>
          <w:rFonts w:ascii="Times New Roman;serif" w:hAnsi="Times New Roman;serif"/>
          <w:b w:val="false"/>
          <w:color w:val="231F20"/>
          <w:sz w:val="20"/>
        </w:rPr>
        <w:t>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Cash Flows</w:t>
      </w:r>
    </w:p>
    <w:p>
      <w:pPr>
        <w:pStyle w:val="TextBody"/>
        <w:bidi w:val="0"/>
        <w:spacing w:lineRule="auto" w:line="288" w:before="120" w:after="120"/>
        <w:ind w:left="0" w:right="0" w:firstLine="450"/>
        <w:jc w:val="both"/>
        <w:rPr/>
      </w:pPr>
      <w:r>
        <w:rPr>
          <w:rFonts w:ascii="Times New Roman;serif" w:hAnsi="Times New Roman;serif"/>
          <w:b w:val="false"/>
          <w:color w:val="231F20"/>
          <w:sz w:val="20"/>
        </w:rPr>
        <w:t>The following</w:t>
      </w:r>
      <w:r>
        <w:rPr>
          <w:color w:val="231F20"/>
        </w:rPr>
        <w:t xml:space="preserve"> </w:t>
      </w:r>
      <w:r>
        <w:rPr>
          <w:rFonts w:ascii="Times New Roman;serif" w:hAnsi="Times New Roman;serif"/>
          <w:b w:val="false"/>
          <w:color w:val="231F20"/>
          <w:sz w:val="20"/>
        </w:rPr>
        <w:t>table</w:t>
      </w:r>
      <w:r>
        <w:rPr>
          <w:color w:val="231F20"/>
        </w:rPr>
        <w:t xml:space="preserve"> </w:t>
      </w:r>
      <w:r>
        <w:rPr>
          <w:rFonts w:ascii="Times New Roman;serif" w:hAnsi="Times New Roman;serif"/>
          <w:b w:val="false"/>
          <w:color w:val="231F20"/>
          <w:sz w:val="20"/>
        </w:rPr>
        <w:t>summarizes</w:t>
      </w:r>
      <w:r>
        <w:rPr>
          <w:color w:val="231F20"/>
        </w:rPr>
        <w:t xml:space="preserve"> </w:t>
      </w:r>
      <w:r>
        <w:rPr>
          <w:rFonts w:ascii="Times New Roman;serif" w:hAnsi="Times New Roman;serif"/>
          <w:b w:val="false"/>
          <w:color w:val="231F20"/>
          <w:sz w:val="20"/>
        </w:rPr>
        <w:t>our cash</w:t>
      </w:r>
      <w:r>
        <w:rPr>
          <w:color w:val="231F20"/>
        </w:rPr>
        <w:t xml:space="preserve"> </w:t>
      </w:r>
      <w:r>
        <w:rPr>
          <w:rFonts w:ascii="Times New Roman;serif" w:hAnsi="Times New Roman;serif"/>
          <w:b w:val="false"/>
          <w:color w:val="231F20"/>
          <w:sz w:val="20"/>
        </w:rPr>
        <w:t>flows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periods</w:t>
      </w:r>
      <w:r>
        <w:rPr>
          <w:color w:val="231F20"/>
        </w:rPr>
        <w:t xml:space="preserve"> </w:t>
      </w:r>
      <w:r>
        <w:rPr>
          <w:rFonts w:ascii="Times New Roman;serif" w:hAnsi="Times New Roman;serif"/>
          <w:b w:val="false"/>
          <w:color w:val="231F20"/>
          <w:sz w:val="20"/>
        </w:rPr>
        <w:t>presented:</w:t>
      </w:r>
    </w:p>
    <w:tbl>
      <w:tblPr>
        <w:tblW w:w="6542" w:type="dxa"/>
        <w:jc w:val="left"/>
        <w:tblInd w:w="0" w:type="dxa"/>
        <w:tblLayout w:type="fixed"/>
        <w:tblCellMar>
          <w:top w:w="28" w:type="dxa"/>
          <w:left w:w="28" w:type="dxa"/>
          <w:bottom w:w="28" w:type="dxa"/>
          <w:right w:w="28" w:type="dxa"/>
        </w:tblCellMar>
      </w:tblPr>
      <w:tblGrid>
        <w:gridCol w:w="1270"/>
        <w:gridCol w:w="1118"/>
        <w:gridCol w:w="1122"/>
        <w:gridCol w:w="211"/>
        <w:gridCol w:w="901"/>
        <w:gridCol w:w="109"/>
        <w:gridCol w:w="109"/>
        <w:gridCol w:w="109"/>
        <w:gridCol w:w="109"/>
        <w:gridCol w:w="211"/>
        <w:gridCol w:w="901"/>
        <w:gridCol w:w="109"/>
        <w:gridCol w:w="109"/>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231F20"/>
                <w:sz w:val="16"/>
              </w:rPr>
              <w:t>(in</w:t>
            </w:r>
            <w:r>
              <w:rPr>
                <w:color w:val="231F20"/>
              </w:rPr>
              <w:t xml:space="preserve"> </w:t>
            </w:r>
            <w:r>
              <w:rPr>
                <w:rFonts w:ascii="Times New Roman;serif" w:hAnsi="Times New Roman;serif"/>
                <w:b/>
                <w:color w:val="231F20"/>
                <w:sz w:val="16"/>
              </w:rPr>
              <w:t>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Net cash</w:t>
            </w:r>
            <w:r>
              <w:rPr>
                <w:color w:val="231F20"/>
              </w:rPr>
              <w:t xml:space="preserve"> </w:t>
            </w:r>
            <w:r>
              <w:rPr>
                <w:rFonts w:ascii="Times New Roman;serif" w:hAnsi="Times New Roman;serif"/>
                <w:b w:val="false"/>
                <w:color w:val="231F20"/>
                <w:sz w:val="20"/>
              </w:rPr>
              <w:t>provided by</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136,676 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Net cash</w:t>
            </w:r>
            <w:r>
              <w:rPr>
                <w:color w:val="231F20"/>
              </w:rPr>
              <w:t xml:space="preserve"> </w:t>
            </w:r>
            <w:r>
              <w:rPr>
                <w:rFonts w:ascii="Times New Roman;serif" w:hAnsi="Times New Roman;serif"/>
                <w:b w:val="false"/>
                <w:color w:val="231F20"/>
                <w:sz w:val="20"/>
              </w:rPr>
              <w:t>used in investing</w:t>
            </w:r>
            <w:r>
              <w:rPr>
                <w:color w:val="231F20"/>
              </w:rPr>
              <w:t xml:space="preserve"> </w:t>
            </w:r>
            <w:r>
              <w:rPr>
                <w:rFonts w:ascii="Times New Roman;serif" w:hAnsi="Times New Roman;serif"/>
                <w:b w:val="false"/>
                <w:color w:val="231F20"/>
                <w:sz w:val="20"/>
              </w:rPr>
              <w:t>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(757,568)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Net cash</w:t>
            </w:r>
            <w:r>
              <w:rPr>
                <w:color w:val="231F20"/>
              </w:rPr>
              <w:t xml:space="preserve"> </w:t>
            </w:r>
            <w:r>
              <w:rPr>
                <w:rFonts w:ascii="Times New Roman;serif" w:hAnsi="Times New Roman;serif"/>
                <w:b w:val="false"/>
                <w:color w:val="231F20"/>
                <w:sz w:val="20"/>
              </w:rPr>
              <w:t>provided</w:t>
            </w:r>
            <w:r>
              <w:rPr>
                <w:color w:val="231F20"/>
              </w:rPr>
              <w:t xml:space="preserve"> </w:t>
            </w:r>
            <w:r>
              <w:rPr>
                <w:rFonts w:ascii="Times New Roman;serif" w:hAnsi="Times New Roman;serif"/>
                <w:b w:val="false"/>
                <w:color w:val="231F20"/>
                <w:sz w:val="20"/>
              </w:rPr>
              <w:t>by financing</w:t>
            </w:r>
            <w:r>
              <w:rPr>
                <w:color w:val="231F20"/>
              </w:rPr>
              <w:t xml:space="preserve"> </w:t>
            </w:r>
            <w:r>
              <w:rPr>
                <w:rFonts w:ascii="Times New Roman;serif" w:hAnsi="Times New Roman;serif"/>
                <w:b w:val="false"/>
                <w:color w:val="231F20"/>
                <w:sz w:val="20"/>
              </w:rPr>
              <w:t>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655,838 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i/>
          <w:color w:val="231F20"/>
          <w:sz w:val="20"/>
        </w:rPr>
        <w:t>Change in Cash Flows from Operating</w:t>
      </w:r>
      <w:r>
        <w:rPr>
          <w:color w:val="231F20"/>
        </w:rPr>
        <w:t xml:space="preserve"> </w:t>
      </w:r>
      <w:r>
        <w:rPr>
          <w:rFonts w:ascii="Times New Roman;serif" w:hAnsi="Times New Roman;serif"/>
          <w:b/>
          <w:i/>
          <w:color w:val="231F20"/>
          <w:sz w:val="20"/>
        </w:rPr>
        <w:t>Activities</w:t>
      </w:r>
    </w:p>
    <w:p>
      <w:pPr>
        <w:pStyle w:val="TextBody"/>
        <w:bidi w:val="0"/>
        <w:spacing w:lineRule="auto" w:line="288" w:before="120" w:after="120"/>
        <w:ind w:left="0" w:right="0" w:firstLine="576"/>
        <w:jc w:val="both"/>
        <w:rPr/>
      </w:pPr>
      <w:r>
        <w:rPr>
          <w:rFonts w:ascii="Times New Roman;serif" w:hAnsi="Times New Roman;serif"/>
          <w:b w:val="false"/>
          <w:color w:val="000000"/>
          <w:sz w:val="20"/>
        </w:rPr>
        <w:t>Net cash provided by operating activities for the 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000000"/>
          <w:sz w:val="20"/>
        </w:rPr>
        <w:t>was $319.3 million,</w:t>
      </w:r>
      <w:r>
        <w:rPr>
          <w:color w:val="231F20"/>
        </w:rPr>
        <w:t xml:space="preserve"> </w:t>
      </w:r>
      <w:r>
        <w:rPr>
          <w:rFonts w:ascii="Times New Roman;serif" w:hAnsi="Times New Roman;serif"/>
          <w:b w:val="false"/>
          <w:color w:val="231F20"/>
          <w:sz w:val="20"/>
        </w:rPr>
        <w:t xml:space="preserve">compared to </w:t>
      </w:r>
      <w:r>
        <w:rPr>
          <w:rFonts w:ascii="Times New Roman;serif" w:hAnsi="Times New Roman;serif"/>
          <w:b w:val="false"/>
          <w:color w:val="000000"/>
          <w:sz w:val="20"/>
        </w:rPr>
        <w:t xml:space="preserve">$136.7 million for the comparable period in 2024. The $182.6 million increase in net cash provided by operating activities was a result of a $302.6 million increase in net income, partially offset by both lower non-cash charges of $67.3 million and an unfavorable change of $52.7 million from changes in operating assets and liabilities. The lower non-cash charges of $67.3 million was primarily due to a $74.6 million decrease in non-cash stock-based compensation expense, partially offset by increased warrants contra revenue of $4.1 million and increased depreciation and amortization expense of $3.7 million. The unfavorable change of $52.7 million from changes in operating assets and liabilities was primarily attributable to (i) a $21.9 million unfavorable change in accounts payables and accrued other liabilities primarily due to the timing of payments, (ii) a $20.7 million increase in the changes of the prepaid expenses and other assets primarily due to prepayment for a research and development vendor and a higher income tax receivable from excess tax benefits related to equity compensation, and (iii) a $13.9 million unfavorable change in accounts receivable due to higher product sales and the timing of customer payments. These unfavorable changes were partially offset by a reduced inventory balance of $6.3 million. </w:t>
      </w:r>
    </w:p>
    <w:p>
      <w:pPr>
        <w:pStyle w:val="TextBody"/>
        <w:bidi w:val="0"/>
        <w:spacing w:lineRule="auto" w:line="288" w:before="240" w:after="283"/>
        <w:jc w:val="both"/>
        <w:rPr/>
      </w:pPr>
      <w:r>
        <w:rPr>
          <w:rFonts w:ascii="Times New Roman;serif" w:hAnsi="Times New Roman;serif"/>
          <w:b/>
          <w:i/>
          <w:color w:val="231F20"/>
          <w:sz w:val="20"/>
        </w:rPr>
        <w:t>Change in Cash Flows from Investing</w:t>
      </w:r>
      <w:r>
        <w:rPr>
          <w:color w:val="231F20"/>
        </w:rPr>
        <w:t xml:space="preserve"> </w:t>
      </w:r>
      <w:r>
        <w:rPr>
          <w:rFonts w:ascii="Times New Roman;serif" w:hAnsi="Times New Roman;serif"/>
          <w:b/>
          <w:i/>
          <w:color w:val="231F20"/>
          <w:sz w:val="20"/>
        </w:rPr>
        <w:t>Activities</w:t>
      </w:r>
    </w:p>
    <w:p>
      <w:pPr>
        <w:pStyle w:val="TextBody"/>
        <w:bidi w:val="0"/>
        <w:spacing w:lineRule="auto" w:line="288" w:before="120" w:after="120"/>
        <w:ind w:left="0" w:right="0" w:firstLine="450"/>
        <w:jc w:val="both"/>
        <w:rPr/>
      </w:pPr>
      <w:r>
        <w:rPr>
          <w:rFonts w:ascii="Times New Roman;serif" w:hAnsi="Times New Roman;serif"/>
          <w:b w:val="false"/>
          <w:color w:val="231F20"/>
          <w:sz w:val="20"/>
        </w:rPr>
        <w:t>Net</w:t>
      </w:r>
      <w:r>
        <w:rPr>
          <w:color w:val="231F20"/>
        </w:rPr>
        <w:t xml:space="preserve"> </w:t>
      </w:r>
      <w:r>
        <w:rPr>
          <w:rFonts w:ascii="Times New Roman;serif" w:hAnsi="Times New Roman;serif"/>
          <w:b w:val="false"/>
          <w:color w:val="231F20"/>
          <w:sz w:val="20"/>
        </w:rPr>
        <w:t>cash</w:t>
      </w:r>
      <w:r>
        <w:rPr>
          <w:color w:val="231F20"/>
        </w:rPr>
        <w:t xml:space="preserve"> </w:t>
      </w:r>
      <w:r>
        <w:rPr>
          <w:rFonts w:ascii="Times New Roman;serif" w:hAnsi="Times New Roman;serif"/>
          <w:b w:val="false"/>
          <w:color w:val="231F20"/>
          <w:sz w:val="20"/>
        </w:rPr>
        <w:t>used in investing</w:t>
      </w:r>
      <w:r>
        <w:rPr>
          <w:color w:val="231F20"/>
        </w:rPr>
        <w:t xml:space="preserve"> </w:t>
      </w:r>
      <w:r>
        <w:rPr>
          <w:rFonts w:ascii="Times New Roman;serif" w:hAnsi="Times New Roman;serif"/>
          <w:b w:val="false"/>
          <w:color w:val="231F20"/>
          <w:sz w:val="20"/>
        </w:rPr>
        <w:t xml:space="preserve">activities for the year 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000000"/>
          <w:sz w:val="20"/>
        </w:rPr>
        <w:t>was $241.5 million,</w:t>
      </w:r>
      <w:r>
        <w:rPr>
          <w:color w:val="231F20"/>
        </w:rPr>
        <w:t xml:space="preserve"> </w:t>
      </w:r>
      <w:r>
        <w:rPr>
          <w:rFonts w:ascii="Times New Roman;serif" w:hAnsi="Times New Roman;serif"/>
          <w:b w:val="false"/>
          <w:color w:val="231F20"/>
          <w:sz w:val="20"/>
        </w:rPr>
        <w:t xml:space="preserve">compared to </w:t>
      </w:r>
      <w:r>
        <w:rPr>
          <w:rFonts w:ascii="Times New Roman;serif" w:hAnsi="Times New Roman;serif"/>
          <w:b w:val="false"/>
          <w:color w:val="000000"/>
          <w:sz w:val="20"/>
        </w:rPr>
        <w:t xml:space="preserve">$757.6 million for the comparable period in 2024. The $516.1 million decrease in cash used in investing activities was primarily due to a $474.4 million increase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proceeds</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sales and maturities of</w:t>
      </w:r>
      <w:r>
        <w:rPr>
          <w:color w:val="231F20"/>
        </w:rPr>
        <w:t xml:space="preserve"> </w:t>
      </w:r>
      <w:r>
        <w:rPr>
          <w:rFonts w:ascii="Times New Roman;serif" w:hAnsi="Times New Roman;serif"/>
          <w:b w:val="false"/>
          <w:color w:val="231F20"/>
          <w:sz w:val="20"/>
        </w:rPr>
        <w:t>marketable</w:t>
      </w:r>
      <w:r>
        <w:rPr>
          <w:color w:val="231F20"/>
        </w:rPr>
        <w:t xml:space="preserve"> </w:t>
      </w:r>
      <w:r>
        <w:rPr>
          <w:rFonts w:ascii="Times New Roman;serif" w:hAnsi="Times New Roman;serif"/>
          <w:b w:val="false"/>
          <w:color w:val="231F20"/>
          <w:sz w:val="20"/>
        </w:rPr>
        <w:t xml:space="preserve">securities, and a </w:t>
      </w:r>
      <w:r>
        <w:rPr>
          <w:rFonts w:ascii="Times New Roman;serif" w:hAnsi="Times New Roman;serif"/>
          <w:b w:val="false"/>
          <w:color w:val="000000"/>
          <w:sz w:val="20"/>
        </w:rPr>
        <w:t xml:space="preserve">$72.8 million decrease in </w:t>
      </w:r>
      <w:r>
        <w:rPr>
          <w:rFonts w:ascii="Times New Roman;serif" w:hAnsi="Times New Roman;serif"/>
          <w:b w:val="false"/>
          <w:color w:val="231F20"/>
          <w:sz w:val="20"/>
        </w:rPr>
        <w:t>purchases of</w:t>
      </w:r>
      <w:r>
        <w:rPr>
          <w:color w:val="231F20"/>
        </w:rPr>
        <w:t xml:space="preserve"> </w:t>
      </w:r>
      <w:r>
        <w:rPr>
          <w:rFonts w:ascii="Times New Roman;serif" w:hAnsi="Times New Roman;serif"/>
          <w:b w:val="false"/>
          <w:color w:val="231F20"/>
          <w:sz w:val="20"/>
        </w:rPr>
        <w:t>marketable</w:t>
      </w:r>
      <w:r>
        <w:rPr>
          <w:color w:val="231F20"/>
        </w:rPr>
        <w:t xml:space="preserve"> </w:t>
      </w:r>
      <w:r>
        <w:rPr>
          <w:rFonts w:ascii="Times New Roman;serif" w:hAnsi="Times New Roman;serif"/>
          <w:b w:val="false"/>
          <w:color w:val="231F20"/>
          <w:sz w:val="20"/>
        </w:rPr>
        <w:t xml:space="preserve">securities, partially offset by a </w:t>
      </w:r>
      <w:r>
        <w:rPr>
          <w:rFonts w:ascii="Times New Roman;serif" w:hAnsi="Times New Roman;serif"/>
          <w:b w:val="false"/>
          <w:color w:val="000000"/>
          <w:sz w:val="20"/>
        </w:rPr>
        <w:t>$28.8 million increase associated with acquisition of a business, and an increase of $3.3 million in purchase of property and equipment.</w:t>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Change in Cash Flows from Financing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Net cash provided by financing activities for the year ended December 31, 2025 was $9.8 million </w:t>
      </w:r>
      <w:r>
        <w:rPr>
          <w:rFonts w:ascii="Times New Roman;serif" w:hAnsi="Times New Roman;serif"/>
          <w:b w:val="false"/>
          <w:color w:val="231F20"/>
          <w:sz w:val="20"/>
        </w:rPr>
        <w:t xml:space="preserve">compared to </w:t>
      </w:r>
      <w:r>
        <w:rPr>
          <w:rFonts w:ascii="Times New Roman;serif" w:hAnsi="Times New Roman;serif"/>
          <w:b w:val="false"/>
          <w:color w:val="000000"/>
          <w:sz w:val="20"/>
        </w:rPr>
        <w:t>$655.8 million for the comparable period in 2024. The $646.0 million decrease in cash provided by financing activities was primarily due to a decrease of $667.4 million related to proceeds received from the IPO net of underwriting discounts and commissions and deferred offering costs, a decrease of $3.6 million in proceeds from exercise of stock options, partially offset by a lower tax withholding related to net share settlement of RSUs of $20.1 million, and a $3.8 million increase in proceeds from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Material Cash Requirements</w:t>
      </w:r>
    </w:p>
    <w:p>
      <w:pPr>
        <w:pStyle w:val="TextBody"/>
        <w:bidi w:val="0"/>
        <w:spacing w:lineRule="auto" w:line="288" w:before="120" w:after="283"/>
        <w:ind w:left="0" w:right="0" w:firstLine="450"/>
        <w:jc w:val="both"/>
        <w:rPr/>
      </w:pPr>
      <w:r>
        <w:rPr>
          <w:rFonts w:ascii="Times New Roman;serif" w:hAnsi="Times New Roman;serif"/>
          <w:b w:val="false"/>
          <w:i/>
          <w:color w:val="231F20"/>
          <w:sz w:val="20"/>
        </w:rPr>
        <w:t>Operating</w:t>
      </w:r>
      <w:r>
        <w:rPr>
          <w:color w:val="231F20"/>
        </w:rPr>
        <w:t xml:space="preserve"> </w:t>
      </w:r>
      <w:r>
        <w:rPr>
          <w:rFonts w:ascii="Times New Roman;serif" w:hAnsi="Times New Roman;serif"/>
          <w:b w:val="false"/>
          <w:i/>
          <w:color w:val="231F20"/>
          <w:sz w:val="20"/>
        </w:rPr>
        <w:t>lease</w:t>
      </w:r>
      <w:r>
        <w:rPr>
          <w:color w:val="231F20"/>
        </w:rPr>
        <w:t xml:space="preserve"> </w:t>
      </w:r>
      <w:r>
        <w:rPr>
          <w:rFonts w:ascii="Times New Roman;serif" w:hAnsi="Times New Roman;serif"/>
          <w:b w:val="false"/>
          <w:i/>
          <w:color w:val="231F20"/>
          <w:sz w:val="20"/>
        </w:rPr>
        <w:t>commitments.</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lease</w:t>
      </w:r>
      <w:r>
        <w:rPr>
          <w:color w:val="231F20"/>
        </w:rPr>
        <w:t xml:space="preserve"> </w:t>
      </w:r>
      <w:r>
        <w:rPr>
          <w:rFonts w:ascii="Times New Roman;serif" w:hAnsi="Times New Roman;serif"/>
          <w:b w:val="false"/>
          <w:color w:val="231F20"/>
          <w:sz w:val="20"/>
        </w:rPr>
        <w:t>commitments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include</w:t>
      </w:r>
      <w:r>
        <w:rPr>
          <w:color w:val="231F20"/>
        </w:rPr>
        <w:t xml:space="preserve"> </w:t>
      </w:r>
      <w:r>
        <w:rPr>
          <w:rFonts w:ascii="Times New Roman;serif" w:hAnsi="Times New Roman;serif"/>
          <w:b w:val="false"/>
          <w:color w:val="231F20"/>
          <w:sz w:val="20"/>
        </w:rPr>
        <w:t>corporate</w:t>
      </w:r>
      <w:r>
        <w:rPr>
          <w:color w:val="231F20"/>
        </w:rPr>
        <w:t xml:space="preserve"> </w:t>
      </w:r>
      <w:r>
        <w:rPr>
          <w:rFonts w:ascii="Times New Roman;serif" w:hAnsi="Times New Roman;serif"/>
          <w:b w:val="false"/>
          <w:color w:val="231F20"/>
          <w:sz w:val="20"/>
        </w:rPr>
        <w:t>offices.</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000000"/>
        </w:rPr>
        <w:t xml:space="preserve"> </w:t>
      </w:r>
      <w:r>
        <w:rPr>
          <w:rFonts w:ascii="Times New Roman;serif" w:hAnsi="Times New Roman;serif"/>
          <w:b w:val="false"/>
          <w:color w:val="000000"/>
          <w:sz w:val="20"/>
        </w:rPr>
        <w:t>December 31, 2025</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had</w:t>
      </w:r>
      <w:r>
        <w:rPr>
          <w:color w:val="231F20"/>
        </w:rPr>
        <w:t xml:space="preserve"> </w:t>
      </w:r>
      <w:r>
        <w:rPr>
          <w:rFonts w:ascii="Times New Roman;serif" w:hAnsi="Times New Roman;serif"/>
          <w:b w:val="false"/>
          <w:color w:val="231F20"/>
          <w:sz w:val="20"/>
        </w:rPr>
        <w:t>fixed</w:t>
      </w:r>
      <w:r>
        <w:rPr>
          <w:color w:val="231F20"/>
        </w:rPr>
        <w:t xml:space="preserve"> </w:t>
      </w:r>
      <w:r>
        <w:rPr>
          <w:rFonts w:ascii="Times New Roman;serif" w:hAnsi="Times New Roman;serif"/>
          <w:b w:val="false"/>
          <w:color w:val="231F20"/>
          <w:sz w:val="20"/>
        </w:rPr>
        <w:t>lease</w:t>
      </w:r>
      <w:r>
        <w:rPr>
          <w:color w:val="231F20"/>
        </w:rPr>
        <w:t xml:space="preserve"> </w:t>
      </w:r>
      <w:r>
        <w:rPr>
          <w:rFonts w:ascii="Times New Roman;serif" w:hAnsi="Times New Roman;serif"/>
          <w:b w:val="false"/>
          <w:color w:val="231F20"/>
          <w:sz w:val="20"/>
        </w:rPr>
        <w:t>payment</w:t>
      </w:r>
      <w:r>
        <w:rPr>
          <w:color w:val="231F20"/>
        </w:rPr>
        <w:t xml:space="preserve"> </w:t>
      </w:r>
      <w:r>
        <w:rPr>
          <w:rFonts w:ascii="Times New Roman;serif" w:hAnsi="Times New Roman;serif"/>
          <w:b w:val="false"/>
          <w:color w:val="231F20"/>
          <w:sz w:val="20"/>
        </w:rPr>
        <w:t>obligations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000000"/>
          <w:sz w:val="20"/>
        </w:rPr>
        <w:t>$31.0 million</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with approximately</w:t>
      </w:r>
      <w:r>
        <w:rPr>
          <w:color w:val="231F20"/>
        </w:rPr>
        <w:t xml:space="preserve"> </w:t>
      </w:r>
      <w:r>
        <w:rPr>
          <w:rFonts w:ascii="Times New Roman;serif" w:hAnsi="Times New Roman;serif"/>
          <w:b w:val="false"/>
          <w:color w:val="000000"/>
          <w:sz w:val="20"/>
        </w:rPr>
        <w:t>$6.2 million t</w:t>
      </w:r>
      <w:r>
        <w:rPr>
          <w:rFonts w:ascii="Times New Roman;serif" w:hAnsi="Times New Roman;serif"/>
          <w:b w:val="false"/>
          <w:color w:val="231F20"/>
          <w:sz w:val="20"/>
        </w:rPr>
        <w:t>o</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paid</w:t>
      </w:r>
      <w:r>
        <w:rPr>
          <w:color w:val="231F20"/>
        </w:rPr>
        <w:t xml:space="preserve"> </w:t>
      </w:r>
      <w:r>
        <w:rPr>
          <w:rFonts w:ascii="Times New Roman;serif" w:hAnsi="Times New Roman;serif"/>
          <w:b w:val="false"/>
          <w:color w:val="231F20"/>
          <w:sz w:val="20"/>
        </w:rPr>
        <w:t>within</w:t>
      </w:r>
      <w:r>
        <w:rPr>
          <w:color w:val="000000"/>
        </w:rPr>
        <w:t xml:space="preserve"> </w:t>
      </w:r>
      <w:r>
        <w:rPr>
          <w:rFonts w:ascii="Times New Roman;serif" w:hAnsi="Times New Roman;serif"/>
          <w:b w:val="false"/>
          <w:color w:val="231F20"/>
          <w:sz w:val="20"/>
        </w:rPr>
        <w:t>12</w:t>
      </w:r>
      <w:r>
        <w:rPr>
          <w:color w:val="231F20"/>
        </w:rPr>
        <w:t xml:space="preserve"> </w:t>
      </w:r>
      <w:r>
        <w:rPr>
          <w:rFonts w:ascii="Times New Roman;serif" w:hAnsi="Times New Roman;serif"/>
          <w:b w:val="false"/>
          <w:color w:val="231F20"/>
          <w:sz w:val="20"/>
        </w:rPr>
        <w:t>months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remainder</w:t>
      </w:r>
      <w:r>
        <w:rPr>
          <w:color w:val="231F20"/>
        </w:rPr>
        <w:t xml:space="preserve"> </w:t>
      </w:r>
      <w:r>
        <w:rPr>
          <w:rFonts w:ascii="Times New Roman;serif" w:hAnsi="Times New Roman;serif"/>
          <w:b w:val="false"/>
          <w:color w:val="231F20"/>
          <w:sz w:val="20"/>
        </w:rPr>
        <w:t>thereafter.</w:t>
      </w:r>
      <w:r>
        <w:rPr>
          <w:color w:val="231F20"/>
        </w:rPr>
        <w:t xml:space="preserve"> </w:t>
      </w:r>
      <w:r>
        <w:rPr>
          <w:rFonts w:ascii="Times New Roman;serif" w:hAnsi="Times New Roman;serif"/>
          <w:b w:val="false"/>
          <w:color w:val="231F20"/>
          <w:sz w:val="20"/>
        </w:rPr>
        <w:t>For an</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discussion</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operating</w:t>
      </w:r>
      <w:r>
        <w:rPr>
          <w:color w:val="231F20"/>
        </w:rPr>
        <w:t xml:space="preserve"> </w:t>
      </w:r>
      <w:r>
        <w:rPr>
          <w:rFonts w:ascii="Times New Roman;serif" w:hAnsi="Times New Roman;serif"/>
          <w:b w:val="false"/>
          <w:color w:val="231F20"/>
          <w:sz w:val="20"/>
        </w:rPr>
        <w:t>leases,</w:t>
      </w:r>
      <w:r>
        <w:rPr>
          <w:color w:val="231F20"/>
        </w:rPr>
        <w:t xml:space="preserve"> </w:t>
      </w:r>
      <w:r>
        <w:rPr>
          <w:rFonts w:ascii="Times New Roman;serif" w:hAnsi="Times New Roman;serif"/>
          <w:b w:val="false"/>
          <w:color w:val="231F20"/>
          <w:sz w:val="20"/>
        </w:rPr>
        <w:t>see</w:t>
      </w:r>
      <w:r>
        <w:rPr>
          <w:color w:val="231F20"/>
        </w:rPr>
        <w:t xml:space="preserve"> </w:t>
      </w:r>
      <w:r>
        <w:rPr>
          <w:rFonts w:ascii="Times New Roman;serif" w:hAnsi="Times New Roman;serif"/>
          <w:b w:val="false"/>
          <w:color w:val="231F20"/>
          <w:sz w:val="20"/>
        </w:rPr>
        <w:t>Note</w:t>
      </w:r>
      <w:r>
        <w:rPr>
          <w:color w:val="231F20"/>
        </w:rPr>
        <w:t xml:space="preserve"> </w:t>
      </w:r>
      <w:r>
        <w:rPr>
          <w:rFonts w:ascii="Times New Roman;serif" w:hAnsi="Times New Roman;serif"/>
          <w:b w:val="false"/>
          <w:color w:val="231F20"/>
          <w:sz w:val="20"/>
        </w:rPr>
        <w:t>7</w:t>
      </w:r>
      <w:r>
        <w:rPr>
          <w:color w:val="231F20"/>
        </w:rPr>
        <w:t xml:space="preserve"> </w:t>
      </w:r>
      <w:r>
        <w:rPr>
          <w:rFonts w:ascii="Times New Roman;serif" w:hAnsi="Times New Roman;serif"/>
          <w:b w:val="false"/>
          <w:color w:val="231F20"/>
          <w:sz w:val="20"/>
        </w:rPr>
        <w:t>- Leases in the Notes to the 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set forth in</w:t>
      </w:r>
      <w:r>
        <w:rPr>
          <w:color w:val="231F20"/>
        </w:rPr>
        <w:t xml:space="preserve"> </w:t>
      </w:r>
      <w:r>
        <w:rPr>
          <w:rFonts w:ascii="Times New Roman;serif" w:hAnsi="Times New Roman;serif"/>
          <w:b w:val="false"/>
          <w:color w:val="231F20"/>
          <w:sz w:val="20"/>
        </w:rPr>
        <w:t>Part II, Item 8 of this</w:t>
      </w:r>
      <w:r>
        <w:rPr>
          <w:color w:val="231F20"/>
        </w:rPr>
        <w:t xml:space="preserve"> </w:t>
      </w:r>
      <w:r>
        <w:rPr>
          <w:rFonts w:ascii="Times New Roman;serif" w:hAnsi="Times New Roman;serif"/>
          <w:b w:val="false"/>
          <w:color w:val="231F20"/>
          <w:sz w:val="20"/>
        </w:rPr>
        <w:t>annual report on Form 10-K.</w:t>
      </w:r>
    </w:p>
    <w:p>
      <w:pPr>
        <w:pStyle w:val="TextBody"/>
        <w:bidi w:val="0"/>
        <w:spacing w:lineRule="auto" w:line="288" w:before="120" w:after="283"/>
        <w:ind w:left="0" w:right="0" w:firstLine="450"/>
        <w:jc w:val="both"/>
        <w:rPr/>
      </w:pPr>
      <w:r>
        <w:rPr>
          <w:rFonts w:ascii="Times New Roman;serif" w:hAnsi="Times New Roman;serif"/>
          <w:b w:val="false"/>
          <w:i/>
          <w:color w:val="231F20"/>
          <w:sz w:val="20"/>
        </w:rPr>
        <w:t>Purchase</w:t>
      </w:r>
      <w:r>
        <w:rPr>
          <w:color w:val="231F20"/>
        </w:rPr>
        <w:t xml:space="preserve"> </w:t>
      </w:r>
      <w:r>
        <w:rPr>
          <w:rFonts w:ascii="Times New Roman;serif" w:hAnsi="Times New Roman;serif"/>
          <w:b w:val="false"/>
          <w:i/>
          <w:color w:val="231F20"/>
          <w:sz w:val="20"/>
        </w:rPr>
        <w:t>commitments.</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purchase</w:t>
      </w:r>
      <w:r>
        <w:rPr>
          <w:color w:val="231F20"/>
        </w:rPr>
        <w:t xml:space="preserve"> </w:t>
      </w:r>
      <w:r>
        <w:rPr>
          <w:rFonts w:ascii="Times New Roman;serif" w:hAnsi="Times New Roman;serif"/>
          <w:b w:val="false"/>
          <w:color w:val="231F20"/>
          <w:sz w:val="20"/>
        </w:rPr>
        <w:t>commitments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related</w:t>
      </w:r>
      <w:r>
        <w:rPr>
          <w:color w:val="231F20"/>
        </w:rPr>
        <w:t xml:space="preserve"> </w:t>
      </w:r>
      <w:r>
        <w:rPr>
          <w:rFonts w:ascii="Times New Roman;serif" w:hAnsi="Times New Roman;serif"/>
          <w:b w:val="false"/>
          <w:color w:val="231F20"/>
          <w:sz w:val="20"/>
        </w:rPr>
        <w:t>to software</w:t>
      </w:r>
      <w:r>
        <w:rPr>
          <w:color w:val="231F20"/>
        </w:rPr>
        <w:t xml:space="preserve"> </w:t>
      </w:r>
      <w:r>
        <w:rPr>
          <w:rFonts w:ascii="Times New Roman;serif" w:hAnsi="Times New Roman;serif"/>
          <w:b w:val="false"/>
          <w:color w:val="231F20"/>
          <w:sz w:val="20"/>
        </w:rPr>
        <w:t>licenses, cloud hosting services, or performance of certain services.</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we had purchase commitments of </w:t>
      </w:r>
      <w:r>
        <w:rPr>
          <w:rFonts w:ascii="Times New Roman;serif" w:hAnsi="Times New Roman;serif"/>
          <w:b w:val="false"/>
          <w:color w:val="000000"/>
          <w:sz w:val="20"/>
        </w:rPr>
        <w:t>$74.9 million</w:t>
      </w:r>
      <w:r>
        <w:rPr>
          <w:rFonts w:ascii="Times New Roman;serif" w:hAnsi="Times New Roman;serif"/>
          <w:b w:val="false"/>
          <w:color w:val="231F20"/>
          <w:sz w:val="20"/>
        </w:rPr>
        <w:t xml:space="preserve">, with </w:t>
      </w:r>
      <w:r>
        <w:rPr>
          <w:rFonts w:ascii="Times New Roman;serif" w:hAnsi="Times New Roman;serif"/>
          <w:b w:val="false"/>
          <w:color w:val="000000"/>
          <w:sz w:val="20"/>
        </w:rPr>
        <w:t>$29.6 million</w:t>
      </w:r>
      <w:r>
        <w:rPr>
          <w:color w:val="231F20"/>
        </w:rPr>
        <w:t xml:space="preserve"> </w:t>
      </w:r>
      <w:r>
        <w:rPr>
          <w:rFonts w:ascii="Times New Roman;serif" w:hAnsi="Times New Roman;serif"/>
          <w:b w:val="false"/>
          <w:color w:val="231F20"/>
          <w:sz w:val="20"/>
        </w:rPr>
        <w:t>to be paid</w:t>
      </w:r>
      <w:r>
        <w:rPr>
          <w:color w:val="231F20"/>
        </w:rPr>
        <w:t xml:space="preserve"> </w:t>
      </w:r>
      <w:r>
        <w:rPr>
          <w:rFonts w:ascii="Times New Roman;serif" w:hAnsi="Times New Roman;serif"/>
          <w:b w:val="false"/>
          <w:color w:val="231F20"/>
          <w:sz w:val="20"/>
        </w:rPr>
        <w:t>within</w:t>
      </w:r>
      <w:r>
        <w:rPr>
          <w:color w:val="231F20"/>
        </w:rPr>
        <w:t xml:space="preserve"> </w:t>
      </w:r>
      <w:r>
        <w:rPr>
          <w:rFonts w:ascii="Times New Roman;serif" w:hAnsi="Times New Roman;serif"/>
          <w:b w:val="false"/>
          <w:color w:val="231F20"/>
          <w:sz w:val="20"/>
        </w:rPr>
        <w:t>12 months</w:t>
      </w:r>
      <w:r>
        <w:rPr>
          <w:color w:val="231F20"/>
        </w:rPr>
        <w:t xml:space="preserve"> </w:t>
      </w:r>
      <w:r>
        <w:rPr>
          <w:rFonts w:ascii="Times New Roman;serif" w:hAnsi="Times New Roman;serif"/>
          <w:b w:val="false"/>
          <w:color w:val="231F20"/>
          <w:sz w:val="20"/>
        </w:rPr>
        <w:t>and the</w:t>
      </w:r>
      <w:r>
        <w:rPr>
          <w:color w:val="231F20"/>
        </w:rPr>
        <w:t xml:space="preserve"> </w:t>
      </w:r>
      <w:r>
        <w:rPr>
          <w:rFonts w:ascii="Times New Roman;serif" w:hAnsi="Times New Roman;serif"/>
          <w:b w:val="false"/>
          <w:color w:val="231F20"/>
          <w:sz w:val="20"/>
        </w:rPr>
        <w:t>remainder</w:t>
      </w:r>
      <w:r>
        <w:rPr>
          <w:color w:val="231F20"/>
        </w:rPr>
        <w:t xml:space="preserve"> </w:t>
      </w:r>
      <w:r>
        <w:rPr>
          <w:rFonts w:ascii="Times New Roman;serif" w:hAnsi="Times New Roman;serif"/>
          <w:b w:val="false"/>
          <w:color w:val="231F20"/>
          <w:sz w:val="20"/>
        </w:rPr>
        <w:t>thereafter. For an</w:t>
      </w:r>
      <w:r>
        <w:rPr>
          <w:color w:val="231F20"/>
        </w:rPr>
        <w:t xml:space="preserve"> </w:t>
      </w:r>
      <w:r>
        <w:rPr>
          <w:rFonts w:ascii="Times New Roman;serif" w:hAnsi="Times New Roman;serif"/>
          <w:b w:val="false"/>
          <w:color w:val="231F20"/>
          <w:sz w:val="20"/>
        </w:rPr>
        <w:t>additional</w:t>
      </w:r>
      <w:r>
        <w:rPr>
          <w:color w:val="231F20"/>
        </w:rPr>
        <w:t xml:space="preserve"> </w:t>
      </w:r>
      <w:r>
        <w:rPr>
          <w:rFonts w:ascii="Times New Roman;serif" w:hAnsi="Times New Roman;serif"/>
          <w:b w:val="false"/>
          <w:color w:val="231F20"/>
          <w:sz w:val="20"/>
        </w:rPr>
        <w:t>discussion</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our purchase commitments,</w:t>
      </w:r>
      <w:r>
        <w:rPr>
          <w:color w:val="231F20"/>
        </w:rPr>
        <w:t xml:space="preserve"> </w:t>
      </w:r>
      <w:r>
        <w:rPr>
          <w:rFonts w:ascii="Times New Roman;serif" w:hAnsi="Times New Roman;serif"/>
          <w:b w:val="false"/>
          <w:color w:val="231F20"/>
          <w:sz w:val="20"/>
        </w:rPr>
        <w:t>see</w:t>
      </w:r>
      <w:r>
        <w:rPr>
          <w:color w:val="231F20"/>
        </w:rPr>
        <w:t xml:space="preserve"> </w:t>
      </w:r>
      <w:r>
        <w:rPr>
          <w:rFonts w:ascii="Times New Roman;serif" w:hAnsi="Times New Roman;serif"/>
          <w:b w:val="false"/>
          <w:color w:val="231F20"/>
          <w:sz w:val="20"/>
        </w:rPr>
        <w:t>Note</w:t>
      </w:r>
      <w:r>
        <w:rPr>
          <w:color w:val="231F20"/>
        </w:rPr>
        <w:t xml:space="preserve"> </w:t>
      </w:r>
      <w:r>
        <w:rPr>
          <w:rFonts w:ascii="Times New Roman;serif" w:hAnsi="Times New Roman;serif"/>
          <w:b w:val="false"/>
          <w:color w:val="231F20"/>
          <w:sz w:val="20"/>
        </w:rPr>
        <w:t>8 - Commitments and Contingencies in the Notes to the Consolidated Financial Statements set forth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pPr>
      <w:r>
        <w:rPr>
          <w:rFonts w:ascii="Times New Roman;serif" w:hAnsi="Times New Roman;serif"/>
          <w:b/>
          <w:color w:val="231F20"/>
          <w:sz w:val="20"/>
        </w:rPr>
        <w:t>Indemnification</w:t>
      </w:r>
      <w:r>
        <w:rPr>
          <w:color w:val="231F20"/>
        </w:rPr>
        <w:t xml:space="preserve"> </w:t>
      </w:r>
      <w:r>
        <w:rPr>
          <w:rFonts w:ascii="Times New Roman;serif" w:hAnsi="Times New Roman;serif"/>
          <w:b/>
          <w:color w:val="231F20"/>
          <w:sz w:val="20"/>
        </w:rPr>
        <w:t>Agreements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See Note 8 - Commitments and Contingencies in the Notes to the Consolidated Financial Statements set forth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bookmarkStart w:id="1" w:name="ia854b14d304441868446e6d5828c9945_29358"/>
      <w:bookmarkEnd w:id="1"/>
      <w:r>
        <w:rPr>
          <w:rFonts w:ascii="Times New Roman;serif" w:hAnsi="Times New Roman;serif"/>
          <w:b/>
          <w:color w:val="231F20"/>
          <w:sz w:val="20"/>
        </w:rPr>
        <w:t>Critical</w:t>
      </w:r>
      <w:r>
        <w:rPr>
          <w:color w:val="231F20"/>
        </w:rPr>
        <w:t xml:space="preserve"> </w:t>
      </w:r>
      <w:r>
        <w:rPr>
          <w:rFonts w:ascii="Times New Roman;serif" w:hAnsi="Times New Roman;serif"/>
          <w:b/>
          <w:color w:val="231F20"/>
          <w:sz w:val="20"/>
        </w:rPr>
        <w:t>Accounting Estimates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prepare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conformity</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GAAP. The preparation</w:t>
      </w:r>
      <w:r>
        <w:rPr>
          <w:color w:val="231F20"/>
        </w:rPr>
        <w:t xml:space="preserve"> </w:t>
      </w:r>
      <w:r>
        <w:rPr>
          <w:rFonts w:ascii="Times New Roman;serif" w:hAnsi="Times New Roman;serif"/>
          <w:b w:val="false"/>
          <w:color w:val="231F20"/>
          <w:sz w:val="20"/>
        </w:rPr>
        <w:t>of 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in conformity</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GAAP required</w:t>
      </w:r>
      <w:r>
        <w:rPr>
          <w:color w:val="231F20"/>
        </w:rPr>
        <w:t xml:space="preserve"> </w:t>
      </w:r>
      <w:r>
        <w:rPr>
          <w:rFonts w:ascii="Times New Roman;serif" w:hAnsi="Times New Roman;serif"/>
          <w:b w:val="false"/>
          <w:color w:val="231F20"/>
          <w:sz w:val="20"/>
        </w:rPr>
        <w:t>certain</w:t>
      </w:r>
      <w:r>
        <w:rPr>
          <w:color w:val="231F20"/>
        </w:rPr>
        <w:t xml:space="preserve"> </w:t>
      </w:r>
      <w:r>
        <w:rPr>
          <w:rFonts w:ascii="Times New Roman;serif" w:hAnsi="Times New Roman;serif"/>
          <w:b w:val="false"/>
          <w:color w:val="231F20"/>
          <w:sz w:val="20"/>
        </w:rPr>
        <w:t>estimates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assumptions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made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affect</w:t>
      </w:r>
      <w:r>
        <w:rPr>
          <w:color w:val="231F20"/>
        </w:rPr>
        <w:t xml:space="preserve"> </w:t>
      </w:r>
      <w:r>
        <w:rPr>
          <w:rFonts w:ascii="Times New Roman;serif" w:hAnsi="Times New Roman;serif"/>
          <w:b w:val="false"/>
          <w:color w:val="231F20"/>
          <w:sz w:val="20"/>
        </w:rPr>
        <w:t>our consolidated 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Accounting</w:t>
      </w:r>
      <w:r>
        <w:rPr>
          <w:color w:val="231F20"/>
        </w:rPr>
        <w:t xml:space="preserve"> </w:t>
      </w:r>
      <w:r>
        <w:rPr>
          <w:rFonts w:ascii="Times New Roman;serif" w:hAnsi="Times New Roman;serif"/>
          <w:b w:val="false"/>
          <w:color w:val="231F20"/>
          <w:sz w:val="20"/>
        </w:rPr>
        <w:t>policies</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significant</w:t>
      </w:r>
      <w:r>
        <w:rPr>
          <w:color w:val="231F20"/>
        </w:rPr>
        <w:t xml:space="preserve"> </w:t>
      </w:r>
      <w:r>
        <w:rPr>
          <w:rFonts w:ascii="Times New Roman;serif" w:hAnsi="Times New Roman;serif"/>
          <w:b w:val="false"/>
          <w:color w:val="231F20"/>
          <w:sz w:val="20"/>
        </w:rPr>
        <w:t>impact</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results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described</w:t>
      </w:r>
      <w:r>
        <w:rPr>
          <w:color w:val="231F20"/>
        </w:rPr>
        <w:t xml:space="preserve"> </w:t>
      </w:r>
      <w:r>
        <w:rPr>
          <w:rFonts w:ascii="Times New Roman;serif" w:hAnsi="Times New Roman;serif"/>
          <w:b w:val="false"/>
          <w:color w:val="231F20"/>
          <w:sz w:val="20"/>
        </w:rPr>
        <w:t>in Note 1 - to our</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included</w:t>
      </w:r>
      <w:r>
        <w:rPr>
          <w:color w:val="231F20"/>
        </w:rPr>
        <w:t xml:space="preserve"> </w:t>
      </w:r>
      <w:r>
        <w:rPr>
          <w:rFonts w:ascii="Times New Roman;serif" w:hAnsi="Times New Roman;serif"/>
          <w:b w:val="false"/>
          <w:color w:val="231F20"/>
          <w:sz w:val="20"/>
        </w:rPr>
        <w:t>in Part II, Item 8 of</w:t>
      </w:r>
      <w:r>
        <w:rPr>
          <w:color w:val="231F20"/>
        </w:rPr>
        <w:t xml:space="preserve"> </w:t>
      </w:r>
      <w:r>
        <w:rPr>
          <w:rFonts w:ascii="Times New Roman;serif" w:hAnsi="Times New Roman;serif"/>
          <w:b w:val="false"/>
          <w:color w:val="231F20"/>
          <w:sz w:val="20"/>
        </w:rPr>
        <w:t>this</w:t>
      </w:r>
      <w:r>
        <w:rPr>
          <w:color w:val="231F20"/>
        </w:rPr>
        <w:t xml:space="preserve"> </w:t>
      </w:r>
      <w:r>
        <w:rPr>
          <w:rFonts w:ascii="Times New Roman;serif" w:hAnsi="Times New Roman;serif"/>
          <w:b w:val="false"/>
          <w:color w:val="231F20"/>
          <w:sz w:val="20"/>
        </w:rPr>
        <w:t>annual report.</w:t>
      </w:r>
      <w:r>
        <w:rPr>
          <w:color w:val="231F20"/>
        </w:rPr>
        <w:t xml:space="preserve"> </w:t>
      </w:r>
      <w:r>
        <w:rPr>
          <w:rFonts w:ascii="Times New Roman;serif" w:hAnsi="Times New Roman;serif"/>
          <w:b w:val="false"/>
          <w:color w:val="231F20"/>
          <w:sz w:val="20"/>
        </w:rPr>
        <w:t>The accounting</w:t>
      </w:r>
      <w:r>
        <w:rPr>
          <w:color w:val="231F20"/>
        </w:rPr>
        <w:t xml:space="preserve"> </w:t>
      </w:r>
      <w:r>
        <w:rPr>
          <w:rFonts w:ascii="Times New Roman;serif" w:hAnsi="Times New Roman;serif"/>
          <w:b w:val="false"/>
          <w:color w:val="231F20"/>
          <w:sz w:val="20"/>
        </w:rPr>
        <w:t>policies</w:t>
      </w:r>
      <w:r>
        <w:rPr>
          <w:color w:val="231F20"/>
        </w:rPr>
        <w:t xml:space="preserve"> </w:t>
      </w:r>
      <w:r>
        <w:rPr>
          <w:rFonts w:ascii="Times New Roman;serif" w:hAnsi="Times New Roman;serif"/>
          <w:b w:val="false"/>
          <w:color w:val="231F20"/>
          <w:sz w:val="20"/>
        </w:rPr>
        <w:t>discussed</w:t>
      </w:r>
      <w:r>
        <w:rPr>
          <w:color w:val="231F20"/>
        </w:rPr>
        <w:t xml:space="preserve"> </w:t>
      </w:r>
      <w:r>
        <w:rPr>
          <w:rFonts w:ascii="Times New Roman;serif" w:hAnsi="Times New Roman;serif"/>
          <w:b w:val="false"/>
          <w:color w:val="231F20"/>
          <w:sz w:val="20"/>
        </w:rPr>
        <w:t>in this</w:t>
      </w:r>
      <w:r>
        <w:rPr>
          <w:color w:val="231F20"/>
        </w:rPr>
        <w:t xml:space="preserve"> </w:t>
      </w:r>
      <w:r>
        <w:rPr>
          <w:rFonts w:ascii="Times New Roman;serif" w:hAnsi="Times New Roman;serif"/>
          <w:b w:val="false"/>
          <w:color w:val="231F20"/>
          <w:sz w:val="20"/>
        </w:rPr>
        <w:t>section</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those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consider</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critical.</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consider</w:t>
      </w:r>
      <w:r>
        <w:rPr>
          <w:color w:val="231F20"/>
        </w:rPr>
        <w:t xml:space="preserve"> </w:t>
      </w:r>
      <w:r>
        <w:rPr>
          <w:rFonts w:ascii="Times New Roman;serif" w:hAnsi="Times New Roman;serif"/>
          <w:b w:val="false"/>
          <w:color w:val="231F20"/>
          <w:sz w:val="20"/>
        </w:rPr>
        <w:t>an</w:t>
      </w:r>
      <w:r>
        <w:rPr>
          <w:color w:val="231F20"/>
        </w:rPr>
        <w:t xml:space="preserve"> </w:t>
      </w:r>
      <w:r>
        <w:rPr>
          <w:rFonts w:ascii="Times New Roman;serif" w:hAnsi="Times New Roman;serif"/>
          <w:b w:val="false"/>
          <w:color w:val="231F20"/>
          <w:sz w:val="20"/>
        </w:rPr>
        <w:t>accounting</w:t>
      </w:r>
      <w:r>
        <w:rPr>
          <w:color w:val="231F20"/>
        </w:rPr>
        <w:t xml:space="preserve"> </w:t>
      </w:r>
      <w:r>
        <w:rPr>
          <w:rFonts w:ascii="Times New Roman;serif" w:hAnsi="Times New Roman;serif"/>
          <w:b w:val="false"/>
          <w:color w:val="231F20"/>
          <w:sz w:val="20"/>
        </w:rPr>
        <w:t>policy</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critical</w:t>
      </w:r>
      <w:r>
        <w:rPr>
          <w:color w:val="231F20"/>
        </w:rPr>
        <w:t xml:space="preserve"> </w:t>
      </w:r>
      <w:r>
        <w:rPr>
          <w:rFonts w:ascii="Times New Roman;serif" w:hAnsi="Times New Roman;serif"/>
          <w:b w:val="false"/>
          <w:color w:val="231F20"/>
          <w:sz w:val="20"/>
        </w:rPr>
        <w:t>if the</w:t>
      </w:r>
      <w:r>
        <w:rPr>
          <w:color w:val="231F20"/>
        </w:rPr>
        <w:t xml:space="preserve"> </w:t>
      </w:r>
      <w:r>
        <w:rPr>
          <w:rFonts w:ascii="Times New Roman;serif" w:hAnsi="Times New Roman;serif"/>
          <w:b w:val="false"/>
          <w:color w:val="231F20"/>
          <w:sz w:val="20"/>
        </w:rPr>
        <w:t>policy</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subject</w:t>
      </w:r>
      <w:r>
        <w:rPr>
          <w:color w:val="231F20"/>
        </w:rPr>
        <w:t xml:space="preserve"> </w:t>
      </w:r>
      <w:r>
        <w:rPr>
          <w:rFonts w:ascii="Times New Roman;serif" w:hAnsi="Times New Roman;serif"/>
          <w:b w:val="false"/>
          <w:color w:val="231F20"/>
          <w:sz w:val="20"/>
        </w:rPr>
        <w:t>to a material</w:t>
      </w:r>
      <w:r>
        <w:rPr>
          <w:color w:val="231F20"/>
        </w:rPr>
        <w:t xml:space="preserve"> </w:t>
      </w:r>
      <w:r>
        <w:rPr>
          <w:rFonts w:ascii="Times New Roman;serif" w:hAnsi="Times New Roman;serif"/>
          <w:b w:val="false"/>
          <w:color w:val="231F20"/>
          <w:sz w:val="20"/>
        </w:rPr>
        <w:t>level</w:t>
      </w:r>
      <w:r>
        <w:rPr>
          <w:color w:val="231F20"/>
        </w:rPr>
        <w:t xml:space="preserve"> </w:t>
      </w:r>
      <w:r>
        <w:rPr>
          <w:rFonts w:ascii="Times New Roman;serif" w:hAnsi="Times New Roman;serif"/>
          <w:b w:val="false"/>
          <w:color w:val="231F20"/>
          <w:sz w:val="20"/>
        </w:rPr>
        <w:t>of judgment</w:t>
      </w:r>
      <w:r>
        <w:rPr>
          <w:color w:val="231F20"/>
        </w:rPr>
        <w:t xml:space="preserve"> </w:t>
      </w:r>
      <w:r>
        <w:rPr>
          <w:rFonts w:ascii="Times New Roman;serif" w:hAnsi="Times New Roman;serif"/>
          <w:b w:val="false"/>
          <w:color w:val="231F20"/>
          <w:sz w:val="20"/>
        </w:rPr>
        <w:t>and if</w:t>
      </w:r>
      <w:r>
        <w:rPr>
          <w:color w:val="231F20"/>
        </w:rPr>
        <w:t xml:space="preserve"> </w:t>
      </w:r>
      <w:r>
        <w:rPr>
          <w:rFonts w:ascii="Times New Roman;serif" w:hAnsi="Times New Roman;serif"/>
          <w:b w:val="false"/>
          <w:color w:val="231F20"/>
          <w:sz w:val="20"/>
        </w:rPr>
        <w:t>changes</w:t>
      </w:r>
      <w:r>
        <w:rPr>
          <w:color w:val="231F20"/>
        </w:rPr>
        <w:t xml:space="preserve"> </w:t>
      </w:r>
      <w:r>
        <w:rPr>
          <w:rFonts w:ascii="Times New Roman;serif" w:hAnsi="Times New Roman;serif"/>
          <w:b w:val="false"/>
          <w:color w:val="231F20"/>
          <w:sz w:val="20"/>
        </w:rPr>
        <w:t>in those</w:t>
      </w:r>
      <w:r>
        <w:rPr>
          <w:color w:val="231F20"/>
        </w:rPr>
        <w:t xml:space="preserve"> </w:t>
      </w:r>
      <w:r>
        <w:rPr>
          <w:rFonts w:ascii="Times New Roman;serif" w:hAnsi="Times New Roman;serif"/>
          <w:b w:val="false"/>
          <w:color w:val="231F20"/>
          <w:sz w:val="20"/>
        </w:rPr>
        <w:t>judgments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reasonably</w:t>
      </w:r>
      <w:r>
        <w:rPr>
          <w:color w:val="231F20"/>
        </w:rPr>
        <w:t xml:space="preserve"> </w:t>
      </w:r>
      <w:r>
        <w:rPr>
          <w:rFonts w:ascii="Times New Roman;serif" w:hAnsi="Times New Roman;serif"/>
          <w:b w:val="false"/>
          <w:color w:val="231F20"/>
          <w:sz w:val="20"/>
        </w:rPr>
        <w:t>likely</w:t>
      </w:r>
      <w:r>
        <w:rPr>
          <w:color w:val="231F20"/>
        </w:rPr>
        <w:t xml:space="preserve"> </w:t>
      </w:r>
      <w:r>
        <w:rPr>
          <w:rFonts w:ascii="Times New Roman;serif" w:hAnsi="Times New Roman;serif"/>
          <w:b w:val="false"/>
          <w:color w:val="231F20"/>
          <w:sz w:val="20"/>
        </w:rPr>
        <w:t>to materially</w:t>
      </w:r>
      <w:r>
        <w:rPr>
          <w:color w:val="231F20"/>
        </w:rPr>
        <w:t xml:space="preserve"> </w:t>
      </w:r>
      <w:r>
        <w:rPr>
          <w:rFonts w:ascii="Times New Roman;serif" w:hAnsi="Times New Roman;serif"/>
          <w:b w:val="false"/>
          <w:color w:val="231F20"/>
          <w:sz w:val="20"/>
        </w:rPr>
        <w:t>impact</w:t>
      </w:r>
      <w:r>
        <w:rPr>
          <w:color w:val="231F20"/>
        </w:rPr>
        <w:t xml:space="preserve"> </w:t>
      </w:r>
      <w:r>
        <w:rPr>
          <w:rFonts w:ascii="Times New Roman;serif" w:hAnsi="Times New Roman;serif"/>
          <w:b w:val="false"/>
          <w:color w:val="231F20"/>
          <w:sz w:val="20"/>
        </w:rPr>
        <w:t>our results.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base</w:t>
      </w:r>
      <w:r>
        <w:rPr>
          <w:color w:val="231F20"/>
        </w:rPr>
        <w:t xml:space="preserve"> </w:t>
      </w:r>
      <w:r>
        <w:rPr>
          <w:rFonts w:ascii="Times New Roman;serif" w:hAnsi="Times New Roman;serif"/>
          <w:b w:val="false"/>
          <w:color w:val="231F20"/>
          <w:sz w:val="20"/>
        </w:rPr>
        <w:t>our estimates</w:t>
      </w:r>
      <w:r>
        <w:rPr>
          <w:color w:val="231F20"/>
        </w:rPr>
        <w:t xml:space="preserve"> </w:t>
      </w:r>
      <w:r>
        <w:rPr>
          <w:rFonts w:ascii="Times New Roman;serif" w:hAnsi="Times New Roman;serif"/>
          <w:b w:val="false"/>
          <w:color w:val="231F20"/>
          <w:sz w:val="20"/>
        </w:rPr>
        <w:t>and judgments</w:t>
      </w:r>
      <w:r>
        <w:rPr>
          <w:color w:val="231F20"/>
        </w:rPr>
        <w:t xml:space="preserve"> </w:t>
      </w:r>
      <w:r>
        <w:rPr>
          <w:rFonts w:ascii="Times New Roman;serif" w:hAnsi="Times New Roman;serif"/>
          <w:b w:val="false"/>
          <w:color w:val="231F20"/>
          <w:sz w:val="20"/>
        </w:rPr>
        <w:t>on reasonably</w:t>
      </w:r>
      <w:r>
        <w:rPr>
          <w:color w:val="231F20"/>
        </w:rPr>
        <w:t xml:space="preserve"> </w:t>
      </w:r>
      <w:r>
        <w:rPr>
          <w:rFonts w:ascii="Times New Roman;serif" w:hAnsi="Times New Roman;serif"/>
          <w:b w:val="false"/>
          <w:color w:val="231F20"/>
          <w:sz w:val="20"/>
        </w:rPr>
        <w:t>available</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Our estimates</w:t>
      </w:r>
      <w:r>
        <w:rPr>
          <w:color w:val="231F20"/>
        </w:rPr>
        <w:t xml:space="preserve"> </w:t>
      </w:r>
      <w:r>
        <w:rPr>
          <w:rFonts w:ascii="Times New Roman;serif" w:hAnsi="Times New Roman;serif"/>
          <w:b w:val="false"/>
          <w:color w:val="231F20"/>
          <w:sz w:val="20"/>
        </w:rPr>
        <w:t>and assumptions may</w:t>
      </w:r>
      <w:r>
        <w:rPr>
          <w:color w:val="231F20"/>
        </w:rPr>
        <w:t xml:space="preserve"> </w:t>
      </w:r>
      <w:r>
        <w:rPr>
          <w:rFonts w:ascii="Times New Roman;serif" w:hAnsi="Times New Roman;serif"/>
          <w:b w:val="false"/>
          <w:color w:val="231F20"/>
          <w:sz w:val="20"/>
        </w:rPr>
        <w:t>affect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reported</w:t>
      </w:r>
      <w:r>
        <w:rPr>
          <w:color w:val="231F20"/>
        </w:rPr>
        <w:t xml:space="preserve"> </w:t>
      </w:r>
      <w:r>
        <w:rPr>
          <w:rFonts w:ascii="Times New Roman;serif" w:hAnsi="Times New Roman;serif"/>
          <w:b w:val="false"/>
          <w:color w:val="231F20"/>
          <w:sz w:val="20"/>
        </w:rPr>
        <w:t>amounts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assets</w:t>
      </w:r>
      <w:r>
        <w:rPr>
          <w:color w:val="231F20"/>
        </w:rPr>
        <w:t xml:space="preserve"> </w:t>
      </w:r>
      <w:r>
        <w:rPr>
          <w:rFonts w:ascii="Times New Roman;serif" w:hAnsi="Times New Roman;serif"/>
          <w:b w:val="false"/>
          <w:color w:val="231F20"/>
          <w:sz w:val="20"/>
        </w:rPr>
        <w:t>and liabilities</w:t>
      </w:r>
      <w:r>
        <w:rPr>
          <w:color w:val="231F20"/>
        </w:rPr>
        <w:t xml:space="preserve"> </w:t>
      </w:r>
      <w:r>
        <w:rPr>
          <w:rFonts w:ascii="Times New Roman;serif" w:hAnsi="Times New Roman;serif"/>
          <w:b w:val="false"/>
          <w:color w:val="231F20"/>
          <w:sz w:val="20"/>
        </w:rPr>
        <w:t>and disclosure</w:t>
      </w:r>
      <w:r>
        <w:rPr>
          <w:color w:val="231F20"/>
        </w:rPr>
        <w:t xml:space="preserve"> </w:t>
      </w:r>
      <w:r>
        <w:rPr>
          <w:rFonts w:ascii="Times New Roman;serif" w:hAnsi="Times New Roman;serif"/>
          <w:b w:val="false"/>
          <w:color w:val="231F20"/>
          <w:sz w:val="20"/>
        </w:rPr>
        <w:t>of contingent</w:t>
      </w:r>
      <w:r>
        <w:rPr>
          <w:color w:val="231F20"/>
        </w:rPr>
        <w:t xml:space="preserve"> </w:t>
      </w:r>
      <w:r>
        <w:rPr>
          <w:rFonts w:ascii="Times New Roman;serif" w:hAnsi="Times New Roman;serif"/>
          <w:b w:val="false"/>
          <w:color w:val="231F20"/>
          <w:sz w:val="20"/>
        </w:rPr>
        <w:t>assets</w:t>
      </w:r>
      <w:r>
        <w:rPr>
          <w:color w:val="231F20"/>
        </w:rPr>
        <w:t xml:space="preserve"> </w:t>
      </w:r>
      <w:r>
        <w:rPr>
          <w:rFonts w:ascii="Times New Roman;serif" w:hAnsi="Times New Roman;serif"/>
          <w:b w:val="false"/>
          <w:color w:val="231F20"/>
          <w:sz w:val="20"/>
        </w:rPr>
        <w:t>and liabilities</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the date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reported</w:t>
      </w:r>
      <w:r>
        <w:rPr>
          <w:color w:val="231F20"/>
        </w:rPr>
        <w:t xml:space="preserve"> </w:t>
      </w:r>
      <w:r>
        <w:rPr>
          <w:rFonts w:ascii="Times New Roman;serif" w:hAnsi="Times New Roman;serif"/>
          <w:b w:val="false"/>
          <w:color w:val="231F20"/>
          <w:sz w:val="20"/>
        </w:rPr>
        <w:t>amounts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and expenses</w:t>
      </w:r>
      <w:r>
        <w:rPr>
          <w:color w:val="231F20"/>
        </w:rPr>
        <w:t xml:space="preserve"> </w:t>
      </w:r>
      <w:r>
        <w:rPr>
          <w:rFonts w:ascii="Times New Roman;serif" w:hAnsi="Times New Roman;serif"/>
          <w:b w:val="false"/>
          <w:color w:val="231F20"/>
          <w:sz w:val="20"/>
        </w:rPr>
        <w:t>during</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reporting</w:t>
      </w:r>
      <w:r>
        <w:rPr>
          <w:color w:val="231F20"/>
        </w:rPr>
        <w:t xml:space="preserve"> </w:t>
      </w:r>
      <w:r>
        <w:rPr>
          <w:rFonts w:ascii="Times New Roman;serif" w:hAnsi="Times New Roman;serif"/>
          <w:b w:val="false"/>
          <w:color w:val="231F20"/>
          <w:sz w:val="20"/>
        </w:rPr>
        <w:t>period. Actual</w:t>
      </w:r>
      <w:r>
        <w:rPr>
          <w:color w:val="231F20"/>
        </w:rPr>
        <w:t xml:space="preserve"> </w:t>
      </w:r>
      <w:r>
        <w:rPr>
          <w:rFonts w:ascii="Times New Roman;serif" w:hAnsi="Times New Roman;serif"/>
          <w:b w:val="false"/>
          <w:color w:val="231F20"/>
          <w:sz w:val="20"/>
        </w:rPr>
        <w:t>results</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differ</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those</w:t>
      </w:r>
      <w:r>
        <w:rPr>
          <w:color w:val="231F20"/>
        </w:rPr>
        <w:t xml:space="preserve"> </w:t>
      </w:r>
      <w:r>
        <w:rPr>
          <w:rFonts w:ascii="Times New Roman;serif" w:hAnsi="Times New Roman;serif"/>
          <w:b w:val="false"/>
          <w:color w:val="231F20"/>
          <w:sz w:val="20"/>
        </w:rPr>
        <w:t>estimates</w:t>
      </w:r>
      <w:r>
        <w:rPr>
          <w:color w:val="231F20"/>
        </w:rPr>
        <w:t xml:space="preserve"> </w:t>
      </w:r>
      <w:r>
        <w:rPr>
          <w:rFonts w:ascii="Times New Roman;serif" w:hAnsi="Times New Roman;serif"/>
          <w:b w:val="false"/>
          <w:color w:val="231F20"/>
          <w:sz w:val="20"/>
        </w:rPr>
        <w:t>and such differences</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be material</w:t>
      </w:r>
      <w:r>
        <w:rPr>
          <w:color w:val="231F20"/>
        </w:rPr>
        <w:t xml:space="preserve"> </w:t>
      </w:r>
      <w:r>
        <w:rPr>
          <w:rFonts w:ascii="Times New Roman;serif" w:hAnsi="Times New Roman;serif"/>
          <w:b w:val="false"/>
          <w:color w:val="231F20"/>
          <w:sz w:val="20"/>
        </w:rPr>
        <w:t>to the</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continue</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monitor</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assess</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critical</w:t>
      </w:r>
      <w:r>
        <w:rPr>
          <w:color w:val="231F20"/>
        </w:rPr>
        <w:t xml:space="preserve"> </w:t>
      </w:r>
      <w:r>
        <w:rPr>
          <w:rFonts w:ascii="Times New Roman;serif" w:hAnsi="Times New Roman;serif"/>
          <w:b w:val="false"/>
          <w:color w:val="231F20"/>
          <w:sz w:val="20"/>
        </w:rPr>
        <w:t>estimates</w:t>
      </w:r>
      <w:r>
        <w:rPr>
          <w:color w:val="231F20"/>
        </w:rPr>
        <w:t xml:space="preserve"> </w:t>
      </w:r>
      <w:r>
        <w:rPr>
          <w:rFonts w:ascii="Times New Roman;serif" w:hAnsi="Times New Roman;serif"/>
          <w:b w:val="false"/>
          <w:color w:val="231F20"/>
          <w:sz w:val="20"/>
        </w:rPr>
        <w:t>in light</w:t>
      </w:r>
      <w:r>
        <w:rPr>
          <w:color w:val="231F20"/>
        </w:rPr>
        <w:t xml:space="preserve"> </w:t>
      </w:r>
      <w:r>
        <w:rPr>
          <w:rFonts w:ascii="Times New Roman;serif" w:hAnsi="Times New Roman;serif"/>
          <w:b w:val="false"/>
          <w:color w:val="231F20"/>
          <w:sz w:val="20"/>
        </w:rPr>
        <w:t>of developments,</w:t>
      </w:r>
      <w:r>
        <w:rPr>
          <w:color w:val="231F20"/>
        </w:rPr>
        <w:t xml:space="preserve"> </w:t>
      </w:r>
      <w:r>
        <w:rPr>
          <w:rFonts w:ascii="Times New Roman;serif" w:hAnsi="Times New Roman;serif"/>
          <w:b w:val="false"/>
          <w:color w:val="231F20"/>
          <w:sz w:val="20"/>
        </w:rPr>
        <w:t>and as new events</w:t>
      </w:r>
      <w:r>
        <w:rPr>
          <w:color w:val="231F20"/>
        </w:rPr>
        <w:t xml:space="preserve"> </w:t>
      </w:r>
      <w:r>
        <w:rPr>
          <w:rFonts w:ascii="Times New Roman;serif" w:hAnsi="Times New Roman;serif"/>
          <w:b w:val="false"/>
          <w:color w:val="231F20"/>
          <w:sz w:val="20"/>
        </w:rPr>
        <w:t>occur and additional</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obtained,</w:t>
      </w:r>
      <w:r>
        <w:rPr>
          <w:color w:val="231F20"/>
        </w:rPr>
        <w:t xml:space="preserve"> </w:t>
      </w:r>
      <w:r>
        <w:rPr>
          <w:rFonts w:ascii="Times New Roman;serif" w:hAnsi="Times New Roman;serif"/>
          <w:b w:val="false"/>
          <w:color w:val="231F20"/>
          <w:sz w:val="20"/>
        </w:rPr>
        <w:t>our estimates</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change</w:t>
      </w:r>
      <w:r>
        <w:rPr>
          <w:color w:val="231F20"/>
        </w:rPr>
        <w:t xml:space="preserve"> </w:t>
      </w:r>
      <w:r>
        <w:rPr>
          <w:rFonts w:ascii="Times New Roman;serif" w:hAnsi="Times New Roman;serif"/>
          <w:b w:val="false"/>
          <w:color w:val="231F20"/>
          <w:sz w:val="20"/>
        </w:rPr>
        <w:t>materially</w:t>
      </w:r>
      <w:r>
        <w:rPr>
          <w:color w:val="231F20"/>
        </w:rPr>
        <w:t xml:space="preserve"> </w:t>
      </w:r>
      <w:r>
        <w:rPr>
          <w:rFonts w:ascii="Times New Roman;serif" w:hAnsi="Times New Roman;serif"/>
          <w:b w:val="false"/>
          <w:color w:val="231F20"/>
          <w:sz w:val="20"/>
        </w:rPr>
        <w:t>in future</w:t>
      </w:r>
      <w:r>
        <w:rPr>
          <w:color w:val="231F20"/>
        </w:rPr>
        <w:t xml:space="preserve"> </w:t>
      </w:r>
      <w:r>
        <w:rPr>
          <w:rFonts w:ascii="Times New Roman;serif" w:hAnsi="Times New Roman;serif"/>
          <w:b w:val="false"/>
          <w:color w:val="231F20"/>
          <w:sz w:val="20"/>
        </w:rPr>
        <w:t>periods.</w:t>
      </w:r>
    </w:p>
    <w:p>
      <w:pPr>
        <w:pStyle w:val="TextBody"/>
        <w:bidi w:val="0"/>
        <w:spacing w:lineRule="auto" w:line="288" w:before="240" w:after="283"/>
        <w:ind w:left="0" w:right="0" w:firstLine="450"/>
        <w:jc w:val="both"/>
        <w:rPr>
          <w:rFonts w:ascii="Times New Roman;serif" w:hAnsi="Times New Roman;serif"/>
          <w:b/>
          <w:i/>
          <w:color w:val="231F20"/>
          <w:sz w:val="20"/>
        </w:rPr>
      </w:pPr>
      <w:r>
        <w:rPr>
          <w:rFonts w:ascii="Times New Roman;serif" w:hAnsi="Times New Roman;serif"/>
          <w:b/>
          <w:i/>
          <w:color w:val="231F20"/>
          <w:sz w:val="20"/>
        </w:rPr>
        <w:t>Revenue Recognition</w:t>
      </w:r>
    </w:p>
    <w:p>
      <w:pPr>
        <w:pStyle w:val="TextBody"/>
        <w:bidi w:val="0"/>
        <w:spacing w:lineRule="auto" w:line="288" w:before="120" w:after="283"/>
        <w:ind w:left="0" w:right="0" w:firstLine="450"/>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recognize</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upon</w:t>
      </w:r>
      <w:r>
        <w:rPr>
          <w:color w:val="231F20"/>
        </w:rPr>
        <w:t xml:space="preserve"> </w:t>
      </w:r>
      <w:r>
        <w:rPr>
          <w:rFonts w:ascii="Times New Roman;serif" w:hAnsi="Times New Roman;serif"/>
          <w:b w:val="false"/>
          <w:color w:val="231F20"/>
          <w:sz w:val="20"/>
        </w:rPr>
        <w:t>transfer</w:t>
      </w:r>
      <w:r>
        <w:rPr>
          <w:color w:val="231F20"/>
        </w:rPr>
        <w:t xml:space="preserve"> </w:t>
      </w:r>
      <w:r>
        <w:rPr>
          <w:rFonts w:ascii="Times New Roman;serif" w:hAnsi="Times New Roman;serif"/>
          <w:b w:val="false"/>
          <w:color w:val="231F20"/>
          <w:sz w:val="20"/>
        </w:rPr>
        <w:t>of control</w:t>
      </w:r>
      <w:r>
        <w:rPr>
          <w:color w:val="231F20"/>
        </w:rPr>
        <w:t xml:space="preserve"> </w:t>
      </w:r>
      <w:r>
        <w:rPr>
          <w:rFonts w:ascii="Times New Roman;serif" w:hAnsi="Times New Roman;serif"/>
          <w:b w:val="false"/>
          <w:color w:val="231F20"/>
          <w:sz w:val="20"/>
        </w:rPr>
        <w:t>of promised</w:t>
      </w:r>
      <w:r>
        <w:rPr>
          <w:color w:val="231F20"/>
        </w:rPr>
        <w:t xml:space="preserve"> </w:t>
      </w:r>
      <w:r>
        <w:rPr>
          <w:rFonts w:ascii="Times New Roman;serif" w:hAnsi="Times New Roman;serif"/>
          <w:b w:val="false"/>
          <w:color w:val="231F20"/>
          <w:sz w:val="20"/>
        </w:rPr>
        <w:t>goods and services</w:t>
      </w:r>
      <w:r>
        <w:rPr>
          <w:color w:val="231F20"/>
        </w:rPr>
        <w:t xml:space="preserve"> </w:t>
      </w:r>
      <w:r>
        <w:rPr>
          <w:rFonts w:ascii="Times New Roman;serif" w:hAnsi="Times New Roman;serif"/>
          <w:b w:val="false"/>
          <w:color w:val="231F20"/>
          <w:sz w:val="20"/>
        </w:rPr>
        <w:t>in an amount</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reflects</w:t>
      </w:r>
      <w:r>
        <w:rPr>
          <w:color w:val="231F20"/>
        </w:rPr>
        <w:t xml:space="preserve"> </w:t>
      </w:r>
      <w:r>
        <w:rPr>
          <w:rFonts w:ascii="Times New Roman;serif" w:hAnsi="Times New Roman;serif"/>
          <w:b w:val="false"/>
          <w:color w:val="231F20"/>
          <w:sz w:val="20"/>
        </w:rPr>
        <w:t>the consideration</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expect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receive</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exchange</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those</w:t>
      </w:r>
      <w:r>
        <w:rPr>
          <w:color w:val="231F20"/>
        </w:rPr>
        <w:t xml:space="preserve"> </w:t>
      </w:r>
      <w:r>
        <w:rPr>
          <w:rFonts w:ascii="Times New Roman;serif" w:hAnsi="Times New Roman;serif"/>
          <w:b w:val="false"/>
          <w:color w:val="231F20"/>
          <w:sz w:val="20"/>
        </w:rPr>
        <w:t>goods and services.</w:t>
      </w:r>
      <w:r>
        <w:rPr>
          <w:color w:val="231F20"/>
        </w:rPr>
        <w:t xml:space="preserve"> </w:t>
      </w:r>
      <w:r>
        <w:rPr>
          <w:rFonts w:ascii="Times New Roman;serif" w:hAnsi="Times New Roman;serif"/>
          <w:b w:val="false"/>
          <w:color w:val="231F20"/>
          <w:sz w:val="20"/>
        </w:rPr>
        <w:t xml:space="preserve">Our policy is to record revenue net of any applicable sales, use or excise taxes. </w:t>
      </w:r>
    </w:p>
    <w:p>
      <w:pPr>
        <w:pStyle w:val="TextBody"/>
        <w:bidi w:val="0"/>
        <w:spacing w:lineRule="auto" w:line="288" w:before="120" w:after="283"/>
        <w:ind w:left="0" w:right="0" w:firstLine="450"/>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transact</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customers</w:t>
      </w:r>
      <w:r>
        <w:rPr>
          <w:color w:val="231F20"/>
        </w:rPr>
        <w:t xml:space="preserve"> </w:t>
      </w:r>
      <w:r>
        <w:rPr>
          <w:rFonts w:ascii="Times New Roman;serif" w:hAnsi="Times New Roman;serif"/>
          <w:b w:val="false"/>
          <w:color w:val="231F20"/>
          <w:sz w:val="20"/>
        </w:rPr>
        <w:t>primarily</w:t>
      </w:r>
      <w:r>
        <w:rPr>
          <w:color w:val="231F20"/>
        </w:rPr>
        <w:t xml:space="preserve"> </w:t>
      </w:r>
      <w:r>
        <w:rPr>
          <w:rFonts w:ascii="Times New Roman;serif" w:hAnsi="Times New Roman;serif"/>
          <w:b w:val="false"/>
          <w:color w:val="231F20"/>
          <w:sz w:val="20"/>
        </w:rPr>
        <w:t>pursuant</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standard</w:t>
      </w:r>
      <w:r>
        <w:rPr>
          <w:color w:val="231F20"/>
        </w:rPr>
        <w:t xml:space="preserve"> </w:t>
      </w:r>
      <w:r>
        <w:rPr>
          <w:rFonts w:ascii="Times New Roman;serif" w:hAnsi="Times New Roman;serif"/>
          <w:b w:val="false"/>
          <w:color w:val="231F20"/>
          <w:sz w:val="20"/>
        </w:rPr>
        <w:t>purchase</w:t>
      </w:r>
      <w:r>
        <w:rPr>
          <w:color w:val="231F20"/>
        </w:rPr>
        <w:t xml:space="preserve"> </w:t>
      </w:r>
      <w:r>
        <w:rPr>
          <w:rFonts w:ascii="Times New Roman;serif" w:hAnsi="Times New Roman;serif"/>
          <w:b w:val="false"/>
          <w:color w:val="231F20"/>
          <w:sz w:val="20"/>
        </w:rPr>
        <w:t>orders</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delivery</w:t>
      </w:r>
      <w:r>
        <w:rPr>
          <w:color w:val="231F20"/>
        </w:rPr>
        <w:t xml:space="preserve"> </w:t>
      </w:r>
      <w:r>
        <w:rPr>
          <w:rFonts w:ascii="Times New Roman;serif" w:hAnsi="Times New Roman;serif"/>
          <w:b w:val="false"/>
          <w:color w:val="231F20"/>
          <w:sz w:val="20"/>
        </w:rPr>
        <w:t>of products</w:t>
      </w:r>
      <w:r>
        <w:rPr>
          <w:color w:val="231F20"/>
        </w:rPr>
        <w:t xml:space="preserve"> </w:t>
      </w:r>
      <w:r>
        <w:rPr>
          <w:rFonts w:ascii="Times New Roman;serif" w:hAnsi="Times New Roman;serif"/>
          <w:b w:val="false"/>
          <w:color w:val="231F20"/>
          <w:sz w:val="20"/>
        </w:rPr>
        <w:t>and do not</w:t>
      </w:r>
      <w:r>
        <w:rPr>
          <w:color w:val="231F20"/>
        </w:rPr>
        <w:t xml:space="preserve"> </w:t>
      </w:r>
      <w:r>
        <w:rPr>
          <w:rFonts w:ascii="Times New Roman;serif" w:hAnsi="Times New Roman;serif"/>
          <w:b w:val="false"/>
          <w:color w:val="231F20"/>
          <w:sz w:val="20"/>
        </w:rPr>
        <w:t>allow</w:t>
      </w:r>
      <w:r>
        <w:rPr>
          <w:color w:val="231F20"/>
        </w:rPr>
        <w:t xml:space="preserve"> </w:t>
      </w:r>
      <w:r>
        <w:rPr>
          <w:rFonts w:ascii="Times New Roman;serif" w:hAnsi="Times New Roman;serif"/>
          <w:b w:val="false"/>
          <w:color w:val="231F20"/>
          <w:sz w:val="20"/>
        </w:rPr>
        <w:t>customers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cancel</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change</w:t>
      </w:r>
      <w:r>
        <w:rPr>
          <w:color w:val="231F20"/>
        </w:rPr>
        <w:t xml:space="preserve"> </w:t>
      </w:r>
      <w:r>
        <w:rPr>
          <w:rFonts w:ascii="Times New Roman;serif" w:hAnsi="Times New Roman;serif"/>
          <w:b w:val="false"/>
          <w:color w:val="231F20"/>
          <w:sz w:val="20"/>
        </w:rPr>
        <w:t>purchase</w:t>
      </w:r>
      <w:r>
        <w:rPr>
          <w:color w:val="231F20"/>
        </w:rPr>
        <w:t xml:space="preserve"> </w:t>
      </w:r>
      <w:r>
        <w:rPr>
          <w:rFonts w:ascii="Times New Roman;serif" w:hAnsi="Times New Roman;serif"/>
          <w:b w:val="false"/>
          <w:color w:val="231F20"/>
          <w:sz w:val="20"/>
        </w:rPr>
        <w:t>orders</w:t>
      </w:r>
      <w:r>
        <w:rPr>
          <w:color w:val="231F20"/>
        </w:rPr>
        <w:t xml:space="preserve"> </w:t>
      </w:r>
      <w:r>
        <w:rPr>
          <w:rFonts w:ascii="Times New Roman;serif" w:hAnsi="Times New Roman;serif"/>
          <w:b w:val="false"/>
          <w:color w:val="231F20"/>
          <w:sz w:val="20"/>
        </w:rPr>
        <w:t>within</w:t>
      </w:r>
      <w:r>
        <w:rPr>
          <w:color w:val="231F20"/>
        </w:rPr>
        <w:t xml:space="preserve"> </w:t>
      </w:r>
      <w:r>
        <w:rPr>
          <w:rFonts w:ascii="Times New Roman;serif" w:hAnsi="Times New Roman;serif"/>
          <w:b w:val="false"/>
          <w:color w:val="231F20"/>
          <w:sz w:val="20"/>
        </w:rPr>
        <w:t>limited</w:t>
      </w:r>
      <w:r>
        <w:rPr>
          <w:color w:val="231F20"/>
        </w:rPr>
        <w:t xml:space="preserve"> </w:t>
      </w:r>
      <w:r>
        <w:rPr>
          <w:rFonts w:ascii="Times New Roman;serif" w:hAnsi="Times New Roman;serif"/>
          <w:b w:val="false"/>
          <w:color w:val="231F20"/>
          <w:sz w:val="20"/>
        </w:rPr>
        <w:t>notice</w:t>
      </w:r>
      <w:r>
        <w:rPr>
          <w:color w:val="231F20"/>
        </w:rPr>
        <w:t xml:space="preserve"> </w:t>
      </w:r>
      <w:r>
        <w:rPr>
          <w:rFonts w:ascii="Times New Roman;serif" w:hAnsi="Times New Roman;serif"/>
          <w:b w:val="false"/>
          <w:color w:val="231F20"/>
          <w:sz w:val="20"/>
        </w:rPr>
        <w:t>periods.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recognize</w:t>
      </w:r>
      <w:r>
        <w:rPr>
          <w:color w:val="231F20"/>
        </w:rPr>
        <w:t xml:space="preserve"> </w:t>
      </w:r>
      <w:r>
        <w:rPr>
          <w:rFonts w:ascii="Times New Roman;serif" w:hAnsi="Times New Roman;serif"/>
          <w:b w:val="false"/>
          <w:color w:val="231F20"/>
          <w:sz w:val="20"/>
        </w:rPr>
        <w:t>product sales</w:t>
      </w:r>
      <w:r>
        <w:rPr>
          <w:color w:val="231F20"/>
        </w:rPr>
        <w:t xml:space="preserve"> </w:t>
      </w:r>
      <w:r>
        <w:rPr>
          <w:rFonts w:ascii="Times New Roman;serif" w:hAnsi="Times New Roman;serif"/>
          <w:b w:val="false"/>
          <w:color w:val="231F20"/>
          <w:sz w:val="20"/>
        </w:rPr>
        <w:t>when</w:t>
      </w:r>
      <w:r>
        <w:rPr>
          <w:color w:val="231F20"/>
        </w:rPr>
        <w:t xml:space="preserve"> </w:t>
      </w:r>
      <w:r>
        <w:rPr>
          <w:rFonts w:ascii="Times New Roman;serif" w:hAnsi="Times New Roman;serif"/>
          <w:b w:val="false"/>
          <w:color w:val="231F20"/>
          <w:sz w:val="20"/>
        </w:rPr>
        <w:t>control</w:t>
      </w:r>
      <w:r>
        <w:rPr>
          <w:color w:val="231F20"/>
        </w:rPr>
        <w:t xml:space="preserve"> </w:t>
      </w:r>
      <w:r>
        <w:rPr>
          <w:rFonts w:ascii="Times New Roman;serif" w:hAnsi="Times New Roman;serif"/>
          <w:b w:val="false"/>
          <w:color w:val="231F20"/>
          <w:sz w:val="20"/>
        </w:rPr>
        <w:t>transfers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customer,</w:t>
      </w:r>
      <w:r>
        <w:rPr>
          <w:color w:val="231F20"/>
        </w:rPr>
        <w:t xml:space="preserve"> </w:t>
      </w:r>
      <w:r>
        <w:rPr>
          <w:rFonts w:ascii="Times New Roman;serif" w:hAnsi="Times New Roman;serif"/>
          <w:b w:val="false"/>
          <w:color w:val="231F20"/>
          <w:sz w:val="20"/>
        </w:rPr>
        <w:t>generally</w:t>
      </w:r>
      <w:r>
        <w:rPr>
          <w:color w:val="231F20"/>
        </w:rPr>
        <w:t xml:space="preserve"> </w:t>
      </w:r>
      <w:r>
        <w:rPr>
          <w:rFonts w:ascii="Times New Roman;serif" w:hAnsi="Times New Roman;serif"/>
          <w:b w:val="false"/>
          <w:color w:val="231F20"/>
          <w:sz w:val="20"/>
        </w:rPr>
        <w:t>at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time</w:t>
      </w:r>
      <w:r>
        <w:rPr>
          <w:color w:val="231F20"/>
        </w:rPr>
        <w:t xml:space="preserve"> </w:t>
      </w:r>
      <w:r>
        <w:rPr>
          <w:rFonts w:ascii="Times New Roman;serif" w:hAnsi="Times New Roman;serif"/>
          <w:b w:val="false"/>
          <w:color w:val="231F20"/>
          <w:sz w:val="20"/>
        </w:rPr>
        <w:t>of product</w:t>
      </w:r>
      <w:r>
        <w:rPr>
          <w:color w:val="231F20"/>
        </w:rPr>
        <w:t xml:space="preserve"> </w:t>
      </w:r>
      <w:r>
        <w:rPr>
          <w:rFonts w:ascii="Times New Roman;serif" w:hAnsi="Times New Roman;serif"/>
          <w:b w:val="false"/>
          <w:color w:val="231F20"/>
          <w:sz w:val="20"/>
        </w:rPr>
        <w:t>shipment</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its</w:t>
      </w:r>
      <w:r>
        <w:rPr>
          <w:color w:val="231F20"/>
        </w:rPr>
        <w:t xml:space="preserve"> </w:t>
      </w:r>
      <w:r>
        <w:rPr>
          <w:rFonts w:ascii="Times New Roman;serif" w:hAnsi="Times New Roman;serif"/>
          <w:b w:val="false"/>
          <w:color w:val="231F20"/>
          <w:sz w:val="20"/>
        </w:rPr>
        <w:t>facilities or at the time when products are received by customers depending on the shipping terms with our customers,</w:t>
      </w:r>
      <w:r>
        <w:rPr>
          <w:color w:val="231F20"/>
        </w:rPr>
        <w:t xml:space="preserve"> </w:t>
      </w:r>
      <w:r>
        <w:rPr>
          <w:rFonts w:ascii="Times New Roman;serif" w:hAnsi="Times New Roman;serif"/>
          <w:b w:val="false"/>
          <w:color w:val="231F20"/>
          <w:sz w:val="20"/>
        </w:rPr>
        <w:t>in an amount</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reflects</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consideration</w:t>
      </w:r>
      <w:r>
        <w:rPr>
          <w:color w:val="231F20"/>
        </w:rPr>
        <w:t xml:space="preserve"> </w:t>
      </w:r>
      <w:r>
        <w:rPr>
          <w:rFonts w:ascii="Times New Roman;serif" w:hAnsi="Times New Roman;serif"/>
          <w:b w:val="false"/>
          <w:color w:val="231F20"/>
          <w:sz w:val="20"/>
        </w:rPr>
        <w:t>we expect</w:t>
      </w:r>
      <w:r>
        <w:rPr>
          <w:color w:val="231F20"/>
        </w:rPr>
        <w:t xml:space="preserve"> </w:t>
      </w:r>
      <w:r>
        <w:rPr>
          <w:rFonts w:ascii="Times New Roman;serif" w:hAnsi="Times New Roman;serif"/>
          <w:b w:val="false"/>
          <w:color w:val="231F20"/>
          <w:sz w:val="20"/>
        </w:rPr>
        <w:t>to receive</w:t>
      </w:r>
      <w:r>
        <w:rPr>
          <w:color w:val="231F20"/>
        </w:rPr>
        <w:t xml:space="preserve"> </w:t>
      </w:r>
      <w:r>
        <w:rPr>
          <w:rFonts w:ascii="Times New Roman;serif" w:hAnsi="Times New Roman;serif"/>
          <w:b w:val="false"/>
          <w:color w:val="231F20"/>
          <w:sz w:val="20"/>
        </w:rPr>
        <w:t>in exchange</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those</w:t>
      </w:r>
      <w:r>
        <w:rPr>
          <w:color w:val="231F20"/>
        </w:rPr>
        <w:t xml:space="preserve"> </w:t>
      </w:r>
      <w:r>
        <w:rPr>
          <w:rFonts w:ascii="Times New Roman;serif" w:hAnsi="Times New Roman;serif"/>
          <w:b w:val="false"/>
          <w:color w:val="231F20"/>
          <w:sz w:val="20"/>
        </w:rPr>
        <w:t>goods, net</w:t>
      </w:r>
      <w:r>
        <w:rPr>
          <w:color w:val="231F20"/>
        </w:rPr>
        <w:t xml:space="preserve"> </w:t>
      </w:r>
      <w:r>
        <w:rPr>
          <w:rFonts w:ascii="Times New Roman;serif" w:hAnsi="Times New Roman;serif"/>
          <w:b w:val="false"/>
          <w:color w:val="231F20"/>
          <w:sz w:val="20"/>
        </w:rPr>
        <w:t>of estimated</w:t>
      </w:r>
      <w:r>
        <w:rPr>
          <w:color w:val="231F20"/>
        </w:rPr>
        <w:t xml:space="preserve"> </w:t>
      </w:r>
      <w:r>
        <w:rPr>
          <w:rFonts w:ascii="Times New Roman;serif" w:hAnsi="Times New Roman;serif"/>
          <w:b w:val="false"/>
          <w:color w:val="231F20"/>
          <w:sz w:val="20"/>
        </w:rPr>
        <w:t>sales returns,</w:t>
      </w:r>
      <w:r>
        <w:rPr>
          <w:color w:val="231F20"/>
        </w:rPr>
        <w:t xml:space="preserve"> </w:t>
      </w:r>
      <w:r>
        <w:rPr>
          <w:rFonts w:ascii="Times New Roman;serif" w:hAnsi="Times New Roman;serif"/>
          <w:b w:val="false"/>
          <w:color w:val="231F20"/>
          <w:sz w:val="20"/>
        </w:rPr>
        <w:t>distributor</w:t>
      </w:r>
      <w:r>
        <w:rPr>
          <w:color w:val="231F20"/>
        </w:rPr>
        <w:t xml:space="preserve"> </w:t>
      </w:r>
      <w:r>
        <w:rPr>
          <w:rFonts w:ascii="Times New Roman;serif" w:hAnsi="Times New Roman;serif"/>
          <w:b w:val="false"/>
          <w:color w:val="231F20"/>
          <w:sz w:val="20"/>
        </w:rPr>
        <w:t>price</w:t>
      </w:r>
      <w:r>
        <w:rPr>
          <w:color w:val="231F20"/>
        </w:rPr>
        <w:t xml:space="preserve"> </w:t>
      </w:r>
      <w:r>
        <w:rPr>
          <w:rFonts w:ascii="Times New Roman;serif" w:hAnsi="Times New Roman;serif"/>
          <w:b w:val="false"/>
          <w:color w:val="231F20"/>
          <w:sz w:val="20"/>
        </w:rPr>
        <w:t>adjustments</w:t>
      </w:r>
      <w:r>
        <w:rPr>
          <w:color w:val="231F20"/>
        </w:rPr>
        <w:t xml:space="preserve"> </w:t>
      </w:r>
      <w:r>
        <w:rPr>
          <w:rFonts w:ascii="Times New Roman;serif" w:hAnsi="Times New Roman;serif"/>
          <w:b w:val="false"/>
          <w:color w:val="231F20"/>
          <w:sz w:val="20"/>
        </w:rPr>
        <w:t>(“DPA”), rebates,</w:t>
      </w:r>
      <w:r>
        <w:rPr>
          <w:color w:val="231F20"/>
        </w:rPr>
        <w:t xml:space="preserve"> </w:t>
      </w:r>
      <w:r>
        <w:rPr>
          <w:rFonts w:ascii="Times New Roman;serif" w:hAnsi="Times New Roman;serif"/>
          <w:b w:val="false"/>
          <w:color w:val="231F20"/>
          <w:sz w:val="20"/>
        </w:rPr>
        <w:t>and other</w:t>
      </w:r>
      <w:r>
        <w:rPr>
          <w:color w:val="231F20"/>
        </w:rPr>
        <w:t xml:space="preserve"> </w:t>
      </w:r>
      <w:r>
        <w:rPr>
          <w:rFonts w:ascii="Times New Roman;serif" w:hAnsi="Times New Roman;serif"/>
          <w:b w:val="false"/>
          <w:color w:val="231F20"/>
          <w:sz w:val="20"/>
        </w:rPr>
        <w:t>customer</w:t>
      </w:r>
      <w:r>
        <w:rPr>
          <w:color w:val="231F20"/>
        </w:rPr>
        <w:t xml:space="preserve"> </w:t>
      </w:r>
      <w:r>
        <w:rPr>
          <w:rFonts w:ascii="Times New Roman;serif" w:hAnsi="Times New Roman;serif"/>
          <w:b w:val="false"/>
          <w:color w:val="231F20"/>
          <w:sz w:val="20"/>
        </w:rPr>
        <w:t>incentives.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most</w:t>
      </w:r>
      <w:r>
        <w:rPr>
          <w:color w:val="231F20"/>
        </w:rPr>
        <w:t xml:space="preserve"> </w:t>
      </w:r>
      <w:r>
        <w:rPr>
          <w:rFonts w:ascii="Times New Roman;serif" w:hAnsi="Times New Roman;serif"/>
          <w:b w:val="false"/>
          <w:color w:val="231F20"/>
          <w:sz w:val="20"/>
        </w:rPr>
        <w:t>distributors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made</w:t>
      </w:r>
      <w:r>
        <w:rPr>
          <w:color w:val="231F20"/>
        </w:rPr>
        <w:t xml:space="preserve"> </w:t>
      </w:r>
      <w:r>
        <w:rPr>
          <w:rFonts w:ascii="Times New Roman;serif" w:hAnsi="Times New Roman;serif"/>
          <w:b w:val="false"/>
          <w:color w:val="231F20"/>
          <w:sz w:val="20"/>
        </w:rPr>
        <w:t>under</w:t>
      </w:r>
      <w:r>
        <w:rPr>
          <w:color w:val="231F20"/>
        </w:rPr>
        <w:t xml:space="preserve"> </w:t>
      </w:r>
      <w:r>
        <w:rPr>
          <w:rFonts w:ascii="Times New Roman;serif" w:hAnsi="Times New Roman;serif"/>
          <w:b w:val="false"/>
          <w:color w:val="231F20"/>
          <w:sz w:val="20"/>
        </w:rPr>
        <w:t>programs</w:t>
      </w:r>
      <w:r>
        <w:rPr>
          <w:color w:val="231F20"/>
        </w:rPr>
        <w:t xml:space="preserve"> </w:t>
      </w:r>
      <w:r>
        <w:rPr>
          <w:rFonts w:ascii="Times New Roman;serif" w:hAnsi="Times New Roman;serif"/>
          <w:b w:val="false"/>
          <w:color w:val="231F20"/>
          <w:sz w:val="20"/>
        </w:rPr>
        <w:t>common</w:t>
      </w:r>
      <w:r>
        <w:rPr>
          <w:color w:val="231F20"/>
        </w:rPr>
        <w:t xml:space="preserve"> </w:t>
      </w:r>
      <w:r>
        <w:rPr>
          <w:rFonts w:ascii="Times New Roman;serif" w:hAnsi="Times New Roman;serif"/>
          <w:b w:val="false"/>
          <w:color w:val="231F20"/>
          <w:sz w:val="20"/>
        </w:rPr>
        <w:t>in the</w:t>
      </w:r>
      <w:r>
        <w:rPr>
          <w:color w:val="231F20"/>
        </w:rPr>
        <w:t xml:space="preserve"> </w:t>
      </w:r>
      <w:r>
        <w:rPr>
          <w:rFonts w:ascii="Times New Roman;serif" w:hAnsi="Times New Roman;serif"/>
          <w:b w:val="false"/>
          <w:color w:val="231F20"/>
          <w:sz w:val="20"/>
        </w:rPr>
        <w:t>semiconductor</w:t>
      </w:r>
      <w:r>
        <w:rPr>
          <w:color w:val="231F20"/>
        </w:rPr>
        <w:t xml:space="preserve"> </w:t>
      </w:r>
      <w:r>
        <w:rPr>
          <w:rFonts w:ascii="Times New Roman;serif" w:hAnsi="Times New Roman;serif"/>
          <w:b w:val="false"/>
          <w:color w:val="231F20"/>
          <w:sz w:val="20"/>
        </w:rPr>
        <w:t>industry</w:t>
      </w:r>
      <w:r>
        <w:rPr>
          <w:color w:val="231F20"/>
        </w:rPr>
        <w:t xml:space="preserve"> </w:t>
      </w:r>
      <w:r>
        <w:rPr>
          <w:rFonts w:ascii="Times New Roman;serif" w:hAnsi="Times New Roman;serif"/>
          <w:b w:val="false"/>
          <w:color w:val="231F20"/>
          <w:sz w:val="20"/>
        </w:rPr>
        <w:t>whereby distributors</w:t>
      </w:r>
      <w:r>
        <w:rPr>
          <w:color w:val="231F20"/>
        </w:rPr>
        <w:t xml:space="preserve"> </w:t>
      </w:r>
      <w:r>
        <w:rPr>
          <w:rFonts w:ascii="Times New Roman;serif" w:hAnsi="Times New Roman;serif"/>
          <w:b w:val="false"/>
          <w:color w:val="231F20"/>
          <w:sz w:val="20"/>
        </w:rPr>
        <w:t>receive</w:t>
      </w:r>
      <w:r>
        <w:rPr>
          <w:color w:val="231F20"/>
        </w:rPr>
        <w:t xml:space="preserve"> </w:t>
      </w:r>
      <w:r>
        <w:rPr>
          <w:rFonts w:ascii="Times New Roman;serif" w:hAnsi="Times New Roman;serif"/>
          <w:b w:val="false"/>
          <w:color w:val="231F20"/>
          <w:sz w:val="20"/>
        </w:rPr>
        <w:t>DPAs to</w:t>
      </w:r>
      <w:r>
        <w:rPr>
          <w:color w:val="231F20"/>
        </w:rPr>
        <w:t xml:space="preserve"> </w:t>
      </w:r>
      <w:r>
        <w:rPr>
          <w:rFonts w:ascii="Times New Roman;serif" w:hAnsi="Times New Roman;serif"/>
          <w:b w:val="false"/>
          <w:color w:val="231F20"/>
          <w:sz w:val="20"/>
        </w:rPr>
        <w:t>meet</w:t>
      </w:r>
      <w:r>
        <w:rPr>
          <w:color w:val="231F20"/>
        </w:rPr>
        <w:t xml:space="preserve"> </w:t>
      </w:r>
      <w:r>
        <w:rPr>
          <w:rFonts w:ascii="Times New Roman;serif" w:hAnsi="Times New Roman;serif"/>
          <w:b w:val="false"/>
          <w:color w:val="231F20"/>
          <w:sz w:val="20"/>
        </w:rPr>
        <w:t>individual</w:t>
      </w:r>
      <w:r>
        <w:rPr>
          <w:color w:val="231F20"/>
        </w:rPr>
        <w:t xml:space="preserve"> </w:t>
      </w:r>
      <w:r>
        <w:rPr>
          <w:rFonts w:ascii="Times New Roman;serif" w:hAnsi="Times New Roman;serif"/>
          <w:b w:val="false"/>
          <w:color w:val="231F20"/>
          <w:sz w:val="20"/>
        </w:rPr>
        <w:t>competitive</w:t>
      </w:r>
      <w:r>
        <w:rPr>
          <w:color w:val="231F20"/>
        </w:rPr>
        <w:t xml:space="preserve"> </w:t>
      </w:r>
      <w:r>
        <w:rPr>
          <w:rFonts w:ascii="Times New Roman;serif" w:hAnsi="Times New Roman;serif"/>
          <w:b w:val="false"/>
          <w:color w:val="231F20"/>
          <w:sz w:val="20"/>
        </w:rPr>
        <w:t>opportunities.</w:t>
      </w:r>
      <w:r>
        <w:rPr>
          <w:color w:val="231F20"/>
        </w:rPr>
        <w:t xml:space="preserve"> </w:t>
      </w:r>
      <w:r>
        <w:rPr>
          <w:rFonts w:ascii="Times New Roman;serif" w:hAnsi="Times New Roman;serif"/>
          <w:b w:val="false"/>
          <w:color w:val="231F20"/>
          <w:sz w:val="20"/>
        </w:rPr>
        <w:t>These programs</w:t>
      </w:r>
      <w:r>
        <w:rPr>
          <w:color w:val="231F20"/>
        </w:rPr>
        <w:t xml:space="preserve"> </w:t>
      </w:r>
      <w:r>
        <w:rPr>
          <w:rFonts w:ascii="Times New Roman;serif" w:hAnsi="Times New Roman;serif"/>
          <w:b w:val="false"/>
          <w:color w:val="231F20"/>
          <w:sz w:val="20"/>
        </w:rPr>
        <w:t>may</w:t>
      </w:r>
      <w:r>
        <w:rPr>
          <w:color w:val="231F20"/>
        </w:rPr>
        <w:t xml:space="preserve"> </w:t>
      </w:r>
      <w:r>
        <w:rPr>
          <w:rFonts w:ascii="Times New Roman;serif" w:hAnsi="Times New Roman;serif"/>
          <w:b w:val="false"/>
          <w:color w:val="231F20"/>
          <w:sz w:val="20"/>
        </w:rPr>
        <w:t>include</w:t>
      </w:r>
      <w:r>
        <w:rPr>
          <w:color w:val="231F20"/>
        </w:rPr>
        <w:t xml:space="preserve"> </w:t>
      </w:r>
      <w:r>
        <w:rPr>
          <w:rFonts w:ascii="Times New Roman;serif" w:hAnsi="Times New Roman;serif"/>
          <w:b w:val="false"/>
          <w:color w:val="231F20"/>
          <w:sz w:val="20"/>
        </w:rPr>
        <w:t>credits granted</w:t>
      </w:r>
      <w:r>
        <w:rPr>
          <w:color w:val="231F20"/>
        </w:rPr>
        <w:t xml:space="preserve"> </w:t>
      </w:r>
      <w:r>
        <w:rPr>
          <w:rFonts w:ascii="Times New Roman;serif" w:hAnsi="Times New Roman;serif"/>
          <w:b w:val="false"/>
          <w:color w:val="231F20"/>
          <w:sz w:val="20"/>
        </w:rPr>
        <w:t>to distributors</w:t>
      </w:r>
      <w:r>
        <w:rPr>
          <w:color w:val="231F20"/>
        </w:rPr>
        <w:t xml:space="preserve"> </w:t>
      </w:r>
      <w:r>
        <w:rPr>
          <w:rFonts w:ascii="Times New Roman;serif" w:hAnsi="Times New Roman;serif"/>
          <w:b w:val="false"/>
          <w:color w:val="231F20"/>
          <w:sz w:val="20"/>
        </w:rPr>
        <w:t>or price</w:t>
      </w:r>
      <w:r>
        <w:rPr>
          <w:color w:val="231F20"/>
        </w:rPr>
        <w:t xml:space="preserve"> </w:t>
      </w:r>
      <w:r>
        <w:rPr>
          <w:rFonts w:ascii="Times New Roman;serif" w:hAnsi="Times New Roman;serif"/>
          <w:b w:val="false"/>
          <w:color w:val="231F20"/>
          <w:sz w:val="20"/>
        </w:rPr>
        <w:t>protection</w:t>
      </w:r>
      <w:r>
        <w:rPr>
          <w:color w:val="231F20"/>
        </w:rPr>
        <w:t xml:space="preserve"> </w:t>
      </w:r>
      <w:r>
        <w:rPr>
          <w:rFonts w:ascii="Times New Roman;serif" w:hAnsi="Times New Roman;serif"/>
          <w:b w:val="false"/>
          <w:color w:val="231F20"/>
          <w:sz w:val="20"/>
        </w:rPr>
        <w:t>credits</w:t>
      </w:r>
      <w:r>
        <w:rPr>
          <w:color w:val="231F20"/>
        </w:rPr>
        <w:t xml:space="preserve"> </w:t>
      </w:r>
      <w:r>
        <w:rPr>
          <w:rFonts w:ascii="Times New Roman;serif" w:hAnsi="Times New Roman;serif"/>
          <w:b w:val="false"/>
          <w:color w:val="231F20"/>
          <w:sz w:val="20"/>
        </w:rPr>
        <w:t>when our standard</w:t>
      </w:r>
      <w:r>
        <w:rPr>
          <w:color w:val="231F20"/>
        </w:rPr>
        <w:t xml:space="preserve"> </w:t>
      </w:r>
      <w:r>
        <w:rPr>
          <w:rFonts w:ascii="Times New Roman;serif" w:hAnsi="Times New Roman;serif"/>
          <w:b w:val="false"/>
          <w:color w:val="231F20"/>
          <w:sz w:val="20"/>
        </w:rPr>
        <w:t>published prices are lowered from the price the</w:t>
      </w:r>
      <w:r>
        <w:rPr>
          <w:color w:val="231F20"/>
        </w:rPr>
        <w:t xml:space="preserve"> </w:t>
      </w:r>
      <w:r>
        <w:rPr>
          <w:rFonts w:ascii="Times New Roman;serif" w:hAnsi="Times New Roman;serif"/>
          <w:b w:val="false"/>
          <w:color w:val="231F20"/>
          <w:sz w:val="20"/>
        </w:rPr>
        <w:t>distributor</w:t>
      </w:r>
      <w:r>
        <w:rPr>
          <w:color w:val="231F20"/>
        </w:rPr>
        <w:t xml:space="preserve"> </w:t>
      </w:r>
      <w:r>
        <w:rPr>
          <w:rFonts w:ascii="Times New Roman;serif" w:hAnsi="Times New Roman;serif"/>
          <w:b w:val="false"/>
          <w:color w:val="231F20"/>
          <w:sz w:val="20"/>
        </w:rPr>
        <w:t>paid</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product</w:t>
      </w:r>
      <w:r>
        <w:rPr>
          <w:color w:val="231F20"/>
        </w:rPr>
        <w:t xml:space="preserve"> </w:t>
      </w:r>
      <w:r>
        <w:rPr>
          <w:rFonts w:ascii="Times New Roman;serif" w:hAnsi="Times New Roman;serif"/>
          <w:b w:val="false"/>
          <w:color w:val="231F20"/>
          <w:sz w:val="20"/>
        </w:rPr>
        <w:t>still</w:t>
      </w:r>
      <w:r>
        <w:rPr>
          <w:color w:val="231F20"/>
        </w:rPr>
        <w:t xml:space="preserve"> </w:t>
      </w:r>
      <w:r>
        <w:rPr>
          <w:rFonts w:ascii="Times New Roman;serif" w:hAnsi="Times New Roman;serif"/>
          <w:b w:val="false"/>
          <w:color w:val="231F20"/>
          <w:sz w:val="20"/>
        </w:rPr>
        <w:t>in its</w:t>
      </w:r>
      <w:r>
        <w:rPr>
          <w:color w:val="231F20"/>
        </w:rPr>
        <w:t xml:space="preserve"> </w:t>
      </w:r>
      <w:r>
        <w:rPr>
          <w:rFonts w:ascii="Times New Roman;serif" w:hAnsi="Times New Roman;serif"/>
          <w:b w:val="false"/>
          <w:color w:val="231F20"/>
          <w:sz w:val="20"/>
        </w:rPr>
        <w:t>inventory.</w:t>
      </w:r>
    </w:p>
    <w:p>
      <w:pPr>
        <w:pStyle w:val="TextBody"/>
        <w:bidi w:val="0"/>
        <w:spacing w:lineRule="auto" w:line="288" w:before="120" w:after="283"/>
        <w:ind w:left="0" w:right="0" w:firstLine="450"/>
        <w:jc w:val="both"/>
        <w:rPr/>
      </w:pP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determining</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transaction</w:t>
      </w:r>
      <w:r>
        <w:rPr>
          <w:color w:val="231F20"/>
        </w:rPr>
        <w:t xml:space="preserve"> </w:t>
      </w:r>
      <w:r>
        <w:rPr>
          <w:rFonts w:ascii="Times New Roman;serif" w:hAnsi="Times New Roman;serif"/>
          <w:b w:val="false"/>
          <w:color w:val="231F20"/>
          <w:sz w:val="20"/>
        </w:rPr>
        <w:t>price,</w:t>
      </w:r>
      <w:r>
        <w:rPr>
          <w:color w:val="231F20"/>
        </w:rPr>
        <w:t xml:space="preserve"> </w:t>
      </w:r>
      <w:r>
        <w:rPr>
          <w:rFonts w:ascii="Times New Roman;serif" w:hAnsi="Times New Roman;serif"/>
          <w:b w:val="false"/>
          <w:color w:val="231F20"/>
          <w:sz w:val="20"/>
        </w:rPr>
        <w:t>DPAs are</w:t>
      </w:r>
      <w:r>
        <w:rPr>
          <w:color w:val="231F20"/>
        </w:rPr>
        <w:t xml:space="preserve"> </w:t>
      </w:r>
      <w:r>
        <w:rPr>
          <w:rFonts w:ascii="Times New Roman;serif" w:hAnsi="Times New Roman;serif"/>
          <w:b w:val="false"/>
          <w:color w:val="231F20"/>
          <w:sz w:val="20"/>
        </w:rPr>
        <w:t>considered</w:t>
      </w:r>
      <w:r>
        <w:rPr>
          <w:color w:val="231F20"/>
        </w:rPr>
        <w:t xml:space="preserve"> </w:t>
      </w:r>
      <w:r>
        <w:rPr>
          <w:rFonts w:ascii="Times New Roman;serif" w:hAnsi="Times New Roman;serif"/>
          <w:b w:val="false"/>
          <w:color w:val="231F20"/>
          <w:sz w:val="20"/>
        </w:rPr>
        <w:t>variable</w:t>
      </w:r>
      <w:r>
        <w:rPr>
          <w:color w:val="231F20"/>
        </w:rPr>
        <w:t xml:space="preserve"> </w:t>
      </w:r>
      <w:r>
        <w:rPr>
          <w:rFonts w:ascii="Times New Roman;serif" w:hAnsi="Times New Roman;serif"/>
          <w:b w:val="false"/>
          <w:color w:val="231F20"/>
          <w:sz w:val="20"/>
        </w:rPr>
        <w:t>consideration</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reduce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amount</w:t>
      </w:r>
      <w:r>
        <w:rPr>
          <w:color w:val="231F20"/>
        </w:rPr>
        <w:t xml:space="preserve"> </w:t>
      </w:r>
      <w:r>
        <w:rPr>
          <w:rFonts w:ascii="Times New Roman;serif" w:hAnsi="Times New Roman;serif"/>
          <w:b w:val="false"/>
          <w:color w:val="231F20"/>
          <w:sz w:val="20"/>
        </w:rPr>
        <w:t>of revenue recognized. Our policy is to estimate</w:t>
      </w:r>
      <w:r>
        <w:rPr>
          <w:color w:val="231F20"/>
        </w:rPr>
        <w:t xml:space="preserve"> </w:t>
      </w:r>
      <w:r>
        <w:rPr>
          <w:rFonts w:ascii="Times New Roman;serif" w:hAnsi="Times New Roman;serif"/>
          <w:b w:val="false"/>
          <w:color w:val="231F20"/>
          <w:sz w:val="20"/>
        </w:rPr>
        <w:t>such price adjustments</w:t>
      </w:r>
      <w:r>
        <w:rPr>
          <w:color w:val="231F20"/>
        </w:rPr>
        <w:t xml:space="preserve"> </w:t>
      </w:r>
      <w:r>
        <w:rPr>
          <w:rFonts w:ascii="Times New Roman;serif" w:hAnsi="Times New Roman;serif"/>
          <w:b w:val="false"/>
          <w:color w:val="231F20"/>
          <w:sz w:val="20"/>
        </w:rPr>
        <w:t>based on our historical</w:t>
      </w:r>
      <w:r>
        <w:rPr>
          <w:color w:val="231F20"/>
        </w:rPr>
        <w:t xml:space="preserve"> </w:t>
      </w:r>
      <w:r>
        <w:rPr>
          <w:rFonts w:ascii="Times New Roman;serif" w:hAnsi="Times New Roman;serif"/>
          <w:b w:val="false"/>
          <w:color w:val="231F20"/>
          <w:sz w:val="20"/>
        </w:rPr>
        <w:t>prices</w:t>
      </w:r>
      <w:r>
        <w:rPr>
          <w:color w:val="231F20"/>
        </w:rPr>
        <w:t xml:space="preserve"> </w:t>
      </w:r>
      <w:r>
        <w:rPr>
          <w:rFonts w:ascii="Times New Roman;serif" w:hAnsi="Times New Roman;serif"/>
          <w:b w:val="false"/>
          <w:color w:val="231F20"/>
          <w:sz w:val="20"/>
        </w:rPr>
        <w:t>and contractual</w:t>
      </w:r>
      <w:r>
        <w:rPr>
          <w:color w:val="231F20"/>
        </w:rPr>
        <w:t xml:space="preserve"> </w:t>
      </w:r>
      <w:r>
        <w:rPr>
          <w:rFonts w:ascii="Times New Roman;serif" w:hAnsi="Times New Roman;serif"/>
          <w:b w:val="false"/>
          <w:color w:val="231F20"/>
          <w:sz w:val="20"/>
        </w:rPr>
        <w:t>terms</w:t>
      </w:r>
      <w:r>
        <w:rPr>
          <w:color w:val="231F20"/>
        </w:rPr>
        <w:t xml:space="preserve"> </w:t>
      </w:r>
      <w:r>
        <w:rPr>
          <w:rFonts w:ascii="Times New Roman;serif" w:hAnsi="Times New Roman;serif"/>
          <w:b w:val="false"/>
          <w:color w:val="231F20"/>
          <w:sz w:val="20"/>
        </w:rPr>
        <w:t>using</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expected</w:t>
      </w:r>
      <w:r>
        <w:rPr>
          <w:color w:val="231F20"/>
        </w:rPr>
        <w:t xml:space="preserve"> </w:t>
      </w:r>
      <w:r>
        <w:rPr>
          <w:rFonts w:ascii="Times New Roman;serif" w:hAnsi="Times New Roman;serif"/>
          <w:b w:val="false"/>
          <w:color w:val="231F20"/>
          <w:sz w:val="20"/>
        </w:rPr>
        <w:t>value</w:t>
      </w:r>
      <w:r>
        <w:rPr>
          <w:color w:val="231F20"/>
        </w:rPr>
        <w:t xml:space="preserve"> </w:t>
      </w:r>
      <w:r>
        <w:rPr>
          <w:rFonts w:ascii="Times New Roman;serif" w:hAnsi="Times New Roman;serif"/>
          <w:b w:val="false"/>
          <w:color w:val="231F20"/>
          <w:sz w:val="20"/>
        </w:rPr>
        <w:t>method.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date,</w:t>
      </w:r>
      <w:r>
        <w:rPr>
          <w:color w:val="231F20"/>
        </w:rPr>
        <w:t xml:space="preserve"> </w:t>
      </w:r>
      <w:r>
        <w:rPr>
          <w:rFonts w:ascii="Times New Roman;serif" w:hAnsi="Times New Roman;serif"/>
          <w:b w:val="false"/>
          <w:color w:val="231F20"/>
          <w:sz w:val="20"/>
        </w:rPr>
        <w:t>actual</w:t>
      </w:r>
      <w:r>
        <w:rPr>
          <w:color w:val="231F20"/>
        </w:rPr>
        <w:t xml:space="preserve"> </w:t>
      </w:r>
      <w:r>
        <w:rPr>
          <w:rFonts w:ascii="Times New Roman;serif" w:hAnsi="Times New Roman;serif"/>
          <w:b w:val="false"/>
          <w:color w:val="231F20"/>
          <w:sz w:val="20"/>
        </w:rPr>
        <w:t>DPAs</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been</w:t>
      </w:r>
      <w:r>
        <w:rPr>
          <w:color w:val="231F20"/>
        </w:rPr>
        <w:t xml:space="preserve"> </w:t>
      </w:r>
      <w:r>
        <w:rPr>
          <w:rFonts w:ascii="Times New Roman;serif" w:hAnsi="Times New Roman;serif"/>
          <w:b w:val="false"/>
          <w:color w:val="231F20"/>
          <w:sz w:val="20"/>
        </w:rPr>
        <w:t>materially</w:t>
      </w:r>
      <w:r>
        <w:rPr>
          <w:color w:val="231F20"/>
        </w:rPr>
        <w:t xml:space="preserve"> </w:t>
      </w:r>
      <w:r>
        <w:rPr>
          <w:rFonts w:ascii="Times New Roman;serif" w:hAnsi="Times New Roman;serif"/>
          <w:b w:val="false"/>
          <w:color w:val="231F20"/>
          <w:sz w:val="20"/>
        </w:rPr>
        <w:t>consistent</w:t>
      </w:r>
      <w:r>
        <w:rPr>
          <w:color w:val="231F20"/>
        </w:rPr>
        <w:t xml:space="preserve"> </w:t>
      </w:r>
      <w:r>
        <w:rPr>
          <w:rFonts w:ascii="Times New Roman;serif" w:hAnsi="Times New Roman;serif"/>
          <w:b w:val="false"/>
          <w:color w:val="231F20"/>
          <w:sz w:val="20"/>
        </w:rPr>
        <w:t>with the</w:t>
      </w:r>
      <w:r>
        <w:rPr>
          <w:color w:val="231F20"/>
        </w:rPr>
        <w:t xml:space="preserve"> </w:t>
      </w:r>
      <w:r>
        <w:rPr>
          <w:rFonts w:ascii="Times New Roman;serif" w:hAnsi="Times New Roman;serif"/>
          <w:b w:val="false"/>
          <w:color w:val="231F20"/>
          <w:sz w:val="20"/>
        </w:rPr>
        <w:t>provisions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have</w:t>
      </w:r>
      <w:r>
        <w:rPr>
          <w:color w:val="231F20"/>
        </w:rPr>
        <w:t xml:space="preserve"> </w:t>
      </w:r>
      <w:r>
        <w:rPr>
          <w:rFonts w:ascii="Times New Roman;serif" w:hAnsi="Times New Roman;serif"/>
          <w:b w:val="false"/>
          <w:color w:val="231F20"/>
          <w:sz w:val="20"/>
        </w:rPr>
        <w:t>made,</w:t>
      </w:r>
      <w:r>
        <w:rPr>
          <w:color w:val="231F20"/>
        </w:rPr>
        <w:t xml:space="preserve"> </w:t>
      </w:r>
      <w:r>
        <w:rPr>
          <w:rFonts w:ascii="Times New Roman;serif" w:hAnsi="Times New Roman;serif"/>
          <w:b w:val="false"/>
          <w:color w:val="231F20"/>
          <w:sz w:val="20"/>
        </w:rPr>
        <w:t>based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historical</w:t>
      </w:r>
      <w:r>
        <w:rPr>
          <w:color w:val="231F20"/>
        </w:rPr>
        <w:t xml:space="preserve"> </w:t>
      </w:r>
      <w:r>
        <w:rPr>
          <w:rFonts w:ascii="Times New Roman;serif" w:hAnsi="Times New Roman;serif"/>
          <w:b w:val="false"/>
          <w:color w:val="231F20"/>
          <w:sz w:val="20"/>
        </w:rPr>
        <w:t>estimates.</w:t>
      </w:r>
      <w:r>
        <w:rPr>
          <w:color w:val="231F20"/>
        </w:rPr>
        <w:t xml:space="preserve"> </w:t>
      </w:r>
      <w:r>
        <w:rPr>
          <w:rFonts w:ascii="Times New Roman;serif" w:hAnsi="Times New Roman;serif"/>
          <w:b w:val="false"/>
          <w:color w:val="231F20"/>
          <w:sz w:val="20"/>
        </w:rPr>
        <w:t>However,</w:t>
      </w:r>
      <w:r>
        <w:rPr>
          <w:color w:val="231F20"/>
        </w:rPr>
        <w:t xml:space="preserve"> </w:t>
      </w:r>
      <w:r>
        <w:rPr>
          <w:rFonts w:ascii="Times New Roman;serif" w:hAnsi="Times New Roman;serif"/>
          <w:b w:val="false"/>
          <w:color w:val="231F20"/>
          <w:sz w:val="20"/>
        </w:rPr>
        <w:t>because</w:t>
      </w:r>
      <w:r>
        <w:rPr>
          <w:color w:val="231F20"/>
        </w:rPr>
        <w:t xml:space="preserve"> </w:t>
      </w:r>
      <w:r>
        <w:rPr>
          <w:rFonts w:ascii="Times New Roman;serif" w:hAnsi="Times New Roman;serif"/>
          <w:b w:val="false"/>
          <w:color w:val="231F20"/>
          <w:sz w:val="20"/>
        </w:rPr>
        <w:t>of the</w:t>
      </w:r>
      <w:r>
        <w:rPr>
          <w:color w:val="231F20"/>
        </w:rPr>
        <w:t xml:space="preserve"> </w:t>
      </w:r>
      <w:r>
        <w:rPr>
          <w:rFonts w:ascii="Times New Roman;serif" w:hAnsi="Times New Roman;serif"/>
          <w:b w:val="false"/>
          <w:color w:val="231F20"/>
          <w:sz w:val="20"/>
        </w:rPr>
        <w:t>inherent</w:t>
      </w:r>
      <w:r>
        <w:rPr>
          <w:color w:val="231F20"/>
        </w:rPr>
        <w:t xml:space="preserve"> </w:t>
      </w:r>
      <w:r>
        <w:rPr>
          <w:rFonts w:ascii="Times New Roman;serif" w:hAnsi="Times New Roman;serif"/>
          <w:b w:val="false"/>
          <w:color w:val="231F20"/>
          <w:sz w:val="20"/>
        </w:rPr>
        <w:t>nature</w:t>
      </w:r>
      <w:r>
        <w:rPr>
          <w:color w:val="231F20"/>
        </w:rPr>
        <w:t xml:space="preserve"> </w:t>
      </w:r>
      <w:r>
        <w:rPr>
          <w:rFonts w:ascii="Times New Roman;serif" w:hAnsi="Times New Roman;serif"/>
          <w:b w:val="false"/>
          <w:color w:val="231F20"/>
          <w:sz w:val="20"/>
        </w:rPr>
        <w:t>of estimates,</w:t>
      </w:r>
      <w:r>
        <w:rPr>
          <w:color w:val="231F20"/>
        </w:rPr>
        <w:t xml:space="preserve"> </w:t>
      </w:r>
      <w:r>
        <w:rPr>
          <w:rFonts w:ascii="Times New Roman;serif" w:hAnsi="Times New Roman;serif"/>
          <w:b w:val="false"/>
          <w:color w:val="231F20"/>
          <w:sz w:val="20"/>
        </w:rPr>
        <w:t>there</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always</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risk</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there</w:t>
      </w:r>
      <w:r>
        <w:rPr>
          <w:color w:val="231F20"/>
        </w:rPr>
        <w:t xml:space="preserve"> </w:t>
      </w:r>
      <w:r>
        <w:rPr>
          <w:rFonts w:ascii="Times New Roman;serif" w:hAnsi="Times New Roman;serif"/>
          <w:b w:val="false"/>
          <w:color w:val="231F20"/>
          <w:sz w:val="20"/>
        </w:rPr>
        <w:t>could</w:t>
      </w:r>
      <w:r>
        <w:rPr>
          <w:color w:val="231F20"/>
        </w:rPr>
        <w:t xml:space="preserve"> </w:t>
      </w:r>
      <w:r>
        <w:rPr>
          <w:rFonts w:ascii="Times New Roman;serif" w:hAnsi="Times New Roman;serif"/>
          <w:b w:val="false"/>
          <w:color w:val="231F20"/>
          <w:sz w:val="20"/>
        </w:rPr>
        <w:t>be</w:t>
      </w:r>
      <w:r>
        <w:rPr>
          <w:color w:val="231F20"/>
        </w:rPr>
        <w:t xml:space="preserve"> </w:t>
      </w:r>
      <w:r>
        <w:rPr>
          <w:rFonts w:ascii="Times New Roman;serif" w:hAnsi="Times New Roman;serif"/>
          <w:b w:val="false"/>
          <w:color w:val="231F20"/>
          <w:sz w:val="20"/>
        </w:rPr>
        <w:t>significant</w:t>
      </w:r>
      <w:r>
        <w:rPr>
          <w:color w:val="231F20"/>
        </w:rPr>
        <w:t xml:space="preserve"> </w:t>
      </w:r>
      <w:r>
        <w:rPr>
          <w:rFonts w:ascii="Times New Roman;serif" w:hAnsi="Times New Roman;serif"/>
          <w:b w:val="false"/>
          <w:color w:val="231F20"/>
          <w:sz w:val="20"/>
        </w:rPr>
        <w:t>differences</w:t>
      </w:r>
      <w:r>
        <w:rPr>
          <w:color w:val="231F20"/>
        </w:rPr>
        <w:t xml:space="preserve"> </w:t>
      </w:r>
      <w:r>
        <w:rPr>
          <w:rFonts w:ascii="Times New Roman;serif" w:hAnsi="Times New Roman;serif"/>
          <w:b w:val="false"/>
          <w:color w:val="231F20"/>
          <w:sz w:val="20"/>
        </w:rPr>
        <w:t>between</w:t>
      </w:r>
      <w:r>
        <w:rPr>
          <w:color w:val="231F20"/>
        </w:rPr>
        <w:t xml:space="preserve"> </w:t>
      </w:r>
      <w:r>
        <w:rPr>
          <w:rFonts w:ascii="Times New Roman;serif" w:hAnsi="Times New Roman;serif"/>
          <w:b w:val="false"/>
          <w:color w:val="231F20"/>
          <w:sz w:val="20"/>
        </w:rPr>
        <w:t>actual</w:t>
      </w:r>
      <w:r>
        <w:rPr>
          <w:color w:val="231F20"/>
        </w:rPr>
        <w:t xml:space="preserve"> </w:t>
      </w:r>
      <w:r>
        <w:rPr>
          <w:rFonts w:ascii="Times New Roman;serif" w:hAnsi="Times New Roman;serif"/>
          <w:b w:val="false"/>
          <w:color w:val="231F20"/>
          <w:sz w:val="20"/>
        </w:rPr>
        <w:t>amounts</w:t>
      </w:r>
      <w:r>
        <w:rPr>
          <w:color w:val="231F20"/>
        </w:rPr>
        <w:t xml:space="preserve"> </w:t>
      </w:r>
      <w:r>
        <w:rPr>
          <w:rFonts w:ascii="Times New Roman;serif" w:hAnsi="Times New Roman;serif"/>
          <w:b w:val="false"/>
          <w:color w:val="231F20"/>
          <w:sz w:val="20"/>
        </w:rPr>
        <w:t>and our estimates.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also</w:t>
      </w:r>
      <w:r>
        <w:rPr>
          <w:color w:val="231F20"/>
        </w:rPr>
        <w:t xml:space="preserve"> </w:t>
      </w:r>
      <w:r>
        <w:rPr>
          <w:rFonts w:ascii="Times New Roman;serif" w:hAnsi="Times New Roman;serif"/>
          <w:b w:val="false"/>
          <w:color w:val="231F20"/>
          <w:sz w:val="20"/>
        </w:rPr>
        <w:t>consider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constraint</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estimates</w:t>
      </w:r>
      <w:r>
        <w:rPr>
          <w:color w:val="231F20"/>
        </w:rPr>
        <w:t xml:space="preserve"> </w:t>
      </w:r>
      <w:r>
        <w:rPr>
          <w:rFonts w:ascii="Times New Roman;serif" w:hAnsi="Times New Roman;serif"/>
          <w:b w:val="false"/>
          <w:color w:val="231F20"/>
          <w:sz w:val="20"/>
        </w:rPr>
        <w:t>of variable</w:t>
      </w:r>
      <w:r>
        <w:rPr>
          <w:color w:val="231F20"/>
        </w:rPr>
        <w:t xml:space="preserve"> </w:t>
      </w:r>
      <w:r>
        <w:rPr>
          <w:rFonts w:ascii="Times New Roman;serif" w:hAnsi="Times New Roman;serif"/>
          <w:b w:val="false"/>
          <w:color w:val="231F20"/>
          <w:sz w:val="20"/>
        </w:rPr>
        <w:t>consideration</w:t>
      </w:r>
      <w:r>
        <w:rPr>
          <w:color w:val="231F20"/>
        </w:rPr>
        <w:t xml:space="preserve"> </w:t>
      </w:r>
      <w:r>
        <w:rPr>
          <w:rFonts w:ascii="Times New Roman;serif" w:hAnsi="Times New Roman;serif"/>
          <w:b w:val="false"/>
          <w:color w:val="231F20"/>
          <w:sz w:val="20"/>
        </w:rPr>
        <w:t>when estimating</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total transaction</w:t>
      </w:r>
      <w:r>
        <w:rPr>
          <w:color w:val="231F20"/>
        </w:rPr>
        <w:t xml:space="preserve"> </w:t>
      </w:r>
      <w:r>
        <w:rPr>
          <w:rFonts w:ascii="Times New Roman;serif" w:hAnsi="Times New Roman;serif"/>
          <w:b w:val="false"/>
          <w:color w:val="231F20"/>
          <w:sz w:val="20"/>
        </w:rPr>
        <w:t>price.</w:t>
      </w:r>
    </w:p>
    <w:p>
      <w:pPr>
        <w:pStyle w:val="TextBody"/>
        <w:bidi w:val="0"/>
        <w:spacing w:lineRule="auto" w:line="288" w:before="120" w:after="283"/>
        <w:ind w:left="0" w:right="0" w:firstLine="450"/>
        <w:jc w:val="both"/>
        <w:rPr/>
      </w:pP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customer</w:t>
      </w:r>
      <w:r>
        <w:rPr>
          <w:color w:val="231F20"/>
        </w:rPr>
        <w:t xml:space="preserve"> </w:t>
      </w:r>
      <w:r>
        <w:rPr>
          <w:rFonts w:ascii="Times New Roman;serif" w:hAnsi="Times New Roman;serif"/>
          <w:b w:val="false"/>
          <w:color w:val="231F20"/>
          <w:sz w:val="20"/>
        </w:rPr>
        <w:t>programs</w:t>
      </w:r>
      <w:r>
        <w:rPr>
          <w:color w:val="231F20"/>
        </w:rPr>
        <w:t xml:space="preserve"> </w:t>
      </w:r>
      <w:r>
        <w:rPr>
          <w:rFonts w:ascii="Times New Roman;serif" w:hAnsi="Times New Roman;serif"/>
          <w:b w:val="false"/>
          <w:color w:val="231F20"/>
          <w:sz w:val="20"/>
        </w:rPr>
        <w:t>involve</w:t>
      </w:r>
      <w:r>
        <w:rPr>
          <w:color w:val="231F20"/>
        </w:rPr>
        <w:t xml:space="preserve"> </w:t>
      </w:r>
      <w:r>
        <w:rPr>
          <w:rFonts w:ascii="Times New Roman;serif" w:hAnsi="Times New Roman;serif"/>
          <w:b w:val="false"/>
          <w:color w:val="231F20"/>
          <w:sz w:val="20"/>
        </w:rPr>
        <w:t>rebates,</w:t>
      </w:r>
      <w:r>
        <w:rPr>
          <w:color w:val="231F20"/>
        </w:rPr>
        <w:t xml:space="preserve"> </w:t>
      </w:r>
      <w:r>
        <w:rPr>
          <w:rFonts w:ascii="Times New Roman;serif" w:hAnsi="Times New Roman;serif"/>
          <w:b w:val="false"/>
          <w:color w:val="231F20"/>
          <w:sz w:val="20"/>
        </w:rPr>
        <w:t>which</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designed</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serve</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sales</w:t>
      </w:r>
      <w:r>
        <w:rPr>
          <w:color w:val="231F20"/>
        </w:rPr>
        <w:t xml:space="preserve"> </w:t>
      </w:r>
      <w:r>
        <w:rPr>
          <w:rFonts w:ascii="Times New Roman;serif" w:hAnsi="Times New Roman;serif"/>
          <w:b w:val="false"/>
          <w:color w:val="231F20"/>
          <w:sz w:val="20"/>
        </w:rPr>
        <w:t>incentives</w:t>
      </w:r>
      <w:r>
        <w:rPr>
          <w:color w:val="231F20"/>
        </w:rPr>
        <w:t xml:space="preserve"> </w:t>
      </w:r>
      <w:r>
        <w:rPr>
          <w:rFonts w:ascii="Times New Roman;serif" w:hAnsi="Times New Roman;serif"/>
          <w:b w:val="false"/>
          <w:color w:val="231F20"/>
          <w:sz w:val="20"/>
        </w:rPr>
        <w:t>to resellers</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products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various</w:t>
      </w:r>
      <w:r>
        <w:rPr>
          <w:color w:val="231F20"/>
        </w:rPr>
        <w:t xml:space="preserve"> </w:t>
      </w:r>
      <w:r>
        <w:rPr>
          <w:rFonts w:ascii="Times New Roman;serif" w:hAnsi="Times New Roman;serif"/>
          <w:b w:val="false"/>
          <w:color w:val="231F20"/>
          <w:sz w:val="20"/>
        </w:rPr>
        <w:t>target</w:t>
      </w:r>
      <w:r>
        <w:rPr>
          <w:color w:val="231F20"/>
        </w:rPr>
        <w:t xml:space="preserve"> </w:t>
      </w:r>
      <w:r>
        <w:rPr>
          <w:rFonts w:ascii="Times New Roman;serif" w:hAnsi="Times New Roman;serif"/>
          <w:b w:val="false"/>
          <w:color w:val="231F20"/>
          <w:sz w:val="20"/>
        </w:rPr>
        <w:t>markets.</w:t>
      </w:r>
      <w:r>
        <w:rPr>
          <w:color w:val="231F20"/>
        </w:rPr>
        <w:t xml:space="preserve"> </w:t>
      </w: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account</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rebates</w:t>
      </w:r>
      <w:r>
        <w:rPr>
          <w:color w:val="231F20"/>
        </w:rPr>
        <w:t xml:space="preserve"> </w:t>
      </w:r>
      <w:r>
        <w:rPr>
          <w:rFonts w:ascii="Times New Roman;serif" w:hAnsi="Times New Roman;serif"/>
          <w:b w:val="false"/>
          <w:color w:val="231F20"/>
          <w:sz w:val="20"/>
        </w:rPr>
        <w:t>as</w:t>
      </w:r>
      <w:r>
        <w:rPr>
          <w:color w:val="231F20"/>
        </w:rPr>
        <w:t xml:space="preserve"> </w:t>
      </w:r>
      <w:r>
        <w:rPr>
          <w:rFonts w:ascii="Times New Roman;serif" w:hAnsi="Times New Roman;serif"/>
          <w:b w:val="false"/>
          <w:color w:val="231F20"/>
          <w:sz w:val="20"/>
        </w:rPr>
        <w:t>a</w:t>
      </w:r>
      <w:r>
        <w:rPr>
          <w:color w:val="231F20"/>
        </w:rPr>
        <w:t xml:space="preserve"> </w:t>
      </w:r>
      <w:r>
        <w:rPr>
          <w:rFonts w:ascii="Times New Roman;serif" w:hAnsi="Times New Roman;serif"/>
          <w:b w:val="false"/>
          <w:color w:val="231F20"/>
          <w:sz w:val="20"/>
        </w:rPr>
        <w:t>reduction</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revenue</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accrue for</w:t>
      </w:r>
      <w:r>
        <w:rPr>
          <w:color w:val="231F20"/>
        </w:rPr>
        <w:t xml:space="preserve"> </w:t>
      </w:r>
      <w:r>
        <w:rPr>
          <w:rFonts w:ascii="Times New Roman;serif" w:hAnsi="Times New Roman;serif"/>
          <w:b w:val="false"/>
          <w:color w:val="231F20"/>
          <w:sz w:val="20"/>
        </w:rPr>
        <w:t>potential</w:t>
      </w:r>
      <w:r>
        <w:rPr>
          <w:color w:val="231F20"/>
        </w:rPr>
        <w:t xml:space="preserve"> </w:t>
      </w:r>
      <w:r>
        <w:rPr>
          <w:rFonts w:ascii="Times New Roman;serif" w:hAnsi="Times New Roman;serif"/>
          <w:b w:val="false"/>
          <w:color w:val="231F20"/>
          <w:sz w:val="20"/>
        </w:rPr>
        <w:t>rebates</w:t>
      </w:r>
      <w:r>
        <w:rPr>
          <w:color w:val="231F20"/>
        </w:rPr>
        <w:t xml:space="preserve"> </w:t>
      </w:r>
      <w:r>
        <w:rPr>
          <w:rFonts w:ascii="Times New Roman;serif" w:hAnsi="Times New Roman;serif"/>
          <w:b w:val="false"/>
          <w:color w:val="231F20"/>
          <w:sz w:val="20"/>
        </w:rPr>
        <w:t>based</w:t>
      </w:r>
      <w:r>
        <w:rPr>
          <w:color w:val="231F20"/>
        </w:rPr>
        <w:t xml:space="preserve"> </w:t>
      </w:r>
      <w:r>
        <w:rPr>
          <w:rFonts w:ascii="Times New Roman;serif" w:hAnsi="Times New Roman;serif"/>
          <w:b w:val="false"/>
          <w:color w:val="231F20"/>
          <w:sz w:val="20"/>
        </w:rPr>
        <w:t>on the</w:t>
      </w:r>
      <w:r>
        <w:rPr>
          <w:color w:val="231F20"/>
        </w:rPr>
        <w:t xml:space="preserve"> </w:t>
      </w:r>
      <w:r>
        <w:rPr>
          <w:rFonts w:ascii="Times New Roman;serif" w:hAnsi="Times New Roman;serif"/>
          <w:b w:val="false"/>
          <w:color w:val="231F20"/>
          <w:sz w:val="20"/>
        </w:rPr>
        <w:t>amount</w:t>
      </w:r>
      <w:r>
        <w:rPr>
          <w:color w:val="231F20"/>
        </w:rPr>
        <w:t xml:space="preserve"> </w:t>
      </w:r>
      <w:r>
        <w:rPr>
          <w:rFonts w:ascii="Times New Roman;serif" w:hAnsi="Times New Roman;serif"/>
          <w:b w:val="false"/>
          <w:color w:val="231F20"/>
          <w:sz w:val="20"/>
        </w:rPr>
        <w:t>we expect</w:t>
      </w:r>
      <w:r>
        <w:rPr>
          <w:color w:val="231F20"/>
        </w:rPr>
        <w:t xml:space="preserve"> </w:t>
      </w:r>
      <w:r>
        <w:rPr>
          <w:rFonts w:ascii="Times New Roman;serif" w:hAnsi="Times New Roman;serif"/>
          <w:b w:val="false"/>
          <w:color w:val="231F20"/>
          <w:sz w:val="20"/>
        </w:rPr>
        <w:t>to be claimed</w:t>
      </w:r>
      <w:r>
        <w:rPr>
          <w:color w:val="231F20"/>
        </w:rPr>
        <w:t xml:space="preserve"> </w:t>
      </w:r>
      <w:r>
        <w:rPr>
          <w:rFonts w:ascii="Times New Roman;serif" w:hAnsi="Times New Roman;serif"/>
          <w:b w:val="false"/>
          <w:color w:val="231F20"/>
          <w:sz w:val="20"/>
        </w:rPr>
        <w:t>by customers.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account for the warrants issued to a customer as consideration payable as we did not receive a distinct good or service in exchange for the warrants. The shares underlying the warrants vest upon the achievement of specified tranches of global payments by the customer and its affiliates. As it becomes probable that the performance-based vesting conditions underlying the warrants will be achieved and the related revenue is recognized, we recognize the related grant date fair value of the warrants as a reduction of revenue for each sales transaction in proportion to total expected cumulative sales volume resulting in achievement of the vesting conditions. For more information, see Note 10 - Common Stock Warrants in the Notes to the Consolidated Financial Statements set forth in Part II, Item 8 of this Annual Report on Form 10-K.</w:t>
      </w:r>
    </w:p>
    <w:p>
      <w:pPr>
        <w:pStyle w:val="TextBody"/>
        <w:bidi w:val="0"/>
        <w:spacing w:before="12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i/>
          <w:color w:val="231F20"/>
          <w:sz w:val="20"/>
        </w:rPr>
      </w:pPr>
      <w:r>
        <w:rPr>
          <w:rFonts w:ascii="Times New Roman;serif" w:hAnsi="Times New Roman;serif"/>
          <w:b/>
          <w:i/>
          <w:color w:val="231F20"/>
          <w:sz w:val="20"/>
        </w:rPr>
        <w:t>Stock-Based Compensation</w:t>
      </w:r>
    </w:p>
    <w:p>
      <w:pPr>
        <w:pStyle w:val="TextBody"/>
        <w:bidi w:val="0"/>
        <w:spacing w:lineRule="auto" w:line="288" w:before="120" w:after="283"/>
        <w:ind w:left="0" w:right="0" w:firstLine="450"/>
        <w:jc w:val="both"/>
        <w:rPr/>
      </w:pPr>
      <w:r>
        <w:rPr>
          <w:rFonts w:ascii="Times New Roman;serif" w:hAnsi="Times New Roman;serif"/>
          <w:b w:val="false"/>
          <w:color w:val="231F20"/>
          <w:sz w:val="20"/>
        </w:rPr>
        <w:t>We</w:t>
      </w:r>
      <w:r>
        <w:rPr>
          <w:color w:val="231F20"/>
        </w:rPr>
        <w:t xml:space="preserve"> </w:t>
      </w:r>
      <w:r>
        <w:rPr>
          <w:rFonts w:ascii="Times New Roman;serif" w:hAnsi="Times New Roman;serif"/>
          <w:b w:val="false"/>
          <w:color w:val="231F20"/>
          <w:sz w:val="20"/>
        </w:rPr>
        <w:t>measure</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expense</w:t>
      </w:r>
      <w:r>
        <w:rPr>
          <w:color w:val="231F20"/>
        </w:rPr>
        <w:t xml:space="preserve"> </w:t>
      </w:r>
      <w:r>
        <w:rPr>
          <w:rFonts w:ascii="Times New Roman;serif" w:hAnsi="Times New Roman;serif"/>
          <w:b w:val="false"/>
          <w:color w:val="231F20"/>
          <w:sz w:val="20"/>
        </w:rPr>
        <w:t>for restricted stock units (“RSUs”) based on the fair value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underlying</w:t>
      </w:r>
      <w:r>
        <w:rPr>
          <w:color w:val="231F20"/>
        </w:rPr>
        <w:t xml:space="preserve"> </w:t>
      </w:r>
      <w:r>
        <w:rPr>
          <w:rFonts w:ascii="Times New Roman;serif" w:hAnsi="Times New Roman;serif"/>
          <w:b w:val="false"/>
          <w:color w:val="231F20"/>
          <w:sz w:val="20"/>
        </w:rPr>
        <w:t>common</w:t>
      </w:r>
      <w:r>
        <w:rPr>
          <w:color w:val="231F20"/>
        </w:rPr>
        <w:t xml:space="preserve"> </w:t>
      </w:r>
      <w:r>
        <w:rPr>
          <w:rFonts w:ascii="Times New Roman;serif" w:hAnsi="Times New Roman;serif"/>
          <w:b w:val="false"/>
          <w:color w:val="231F20"/>
          <w:sz w:val="20"/>
        </w:rPr>
        <w:t>stock</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date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 xml:space="preserve">grant; RSUs are </w:t>
      </w:r>
      <w:r>
        <w:rPr>
          <w:rFonts w:ascii="Times New Roman;serif" w:hAnsi="Times New Roman;serif"/>
          <w:b w:val="false"/>
          <w:color w:val="000000"/>
          <w:sz w:val="20"/>
        </w:rPr>
        <w:t xml:space="preserve">recognized on a straight-line basis over the requisite service period of the awards.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We measure and recognize our stock-based compensation expense for performance stock units (“PSUs”) based on the fair value of the underlying common stock on the date of grant. Stock-based compensation expense is recognized based on the grant date fair value in the period in which vesting becomes probable, using the accelerated attribution method over the requisite service period for each separately vesting portion of the award.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and recognize our stock-based compensation expense for our Employee Stock Purchase Plan (“ESPP”) based on the estimated fair value. We use the Black-Scholes-Merton pricing model to determine the grant date fair value of purchase rights granted under the ESPP. Stock-based compensation expense is recognized on a straight-line basis over the term of each ESPP offering period, which was six months.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Black-Scholes-Merton assumptions are based on the following for each of the years presented: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231F20"/>
          <w:sz w:val="20"/>
        </w:rPr>
        <w:t>Expected volatility</w:t>
      </w:r>
      <w:r>
        <w:rPr>
          <w:color w:val="231F20"/>
        </w:rPr>
        <w:t xml:space="preserve"> – </w:t>
      </w:r>
      <w:r>
        <w:rPr>
          <w:rFonts w:ascii="Times New Roman;serif" w:hAnsi="Times New Roman;serif"/>
          <w:b w:val="false"/>
          <w:color w:val="231F20"/>
          <w:sz w:val="20"/>
        </w:rPr>
        <w:t>since we do not have sufficient trading history of our common stock, we estimate a blended expected volatility by taking the average historical volatility of a group of comparable publicly traded companies and our common stock price over a period equal to the expected term of the awards.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231F20"/>
          <w:sz w:val="20"/>
        </w:rPr>
        <w:t xml:space="preserve">Expected term – </w:t>
      </w:r>
      <w:r>
        <w:rPr>
          <w:rFonts w:ascii="Times New Roman;serif" w:hAnsi="Times New Roman;serif"/>
          <w:b w:val="false"/>
          <w:color w:val="231F20"/>
          <w:sz w:val="20"/>
        </w:rPr>
        <w:t>expected term represents the period that our stock-based awards are expected to be outstanding. The expected term assumptions for options are determined based on the vesting terms, exercise terms, and contractual lives. The expected term of the ESPP represents the period of time that purchase rights are expected to be outstanding, which is generally six months.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231F20"/>
          <w:sz w:val="20"/>
        </w:rPr>
        <w:t>Risk-free interest rate</w:t>
      </w:r>
      <w:r>
        <w:rPr>
          <w:color w:val="231F20"/>
        </w:rPr>
        <w:t xml:space="preserve"> – </w:t>
      </w:r>
      <w:r>
        <w:rPr>
          <w:rFonts w:ascii="Times New Roman;serif" w:hAnsi="Times New Roman;serif"/>
          <w:b w:val="false"/>
          <w:color w:val="231F20"/>
          <w:sz w:val="20"/>
        </w:rPr>
        <w:t>We use the U.S. Treasury yield for our risk-free interest rate that corresponds with the expected term.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231F20"/>
          <w:sz w:val="20"/>
        </w:rPr>
        <w:t>Dividend yield</w:t>
      </w:r>
      <w:r>
        <w:rPr>
          <w:color w:val="231F20"/>
        </w:rPr>
        <w:t xml:space="preserve"> – </w:t>
      </w:r>
      <w:r>
        <w:rPr>
          <w:rFonts w:ascii="Times New Roman;serif" w:hAnsi="Times New Roman;serif"/>
          <w:b w:val="false"/>
          <w:color w:val="231F20"/>
          <w:sz w:val="20"/>
        </w:rPr>
        <w:t>We utilize a dividend yield of zero, as we do not currently issue dividends, nor do we expect to do so in the future.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forfeitures as they occur.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Business Combination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allocate the fair value of the purchase consideration of a business acquisition to tangible and intangible assets acquired, including in-process research and development (“IPR&amp;D”), and liabilities assumed based upon their estimated fair values at the acquisition date. The excess of the fair value of purchase consideration over the fair values of assets acquired and liabilities assumed is recognized as goodwill. Our valuation of acquired assets and assumed liabilities requires significant estimates, especially with respect to intangible assets. The valuation of intangible assets, in particular, requires that we use valuation techniques such as the income approach. The income approach includes the use of a discounted cash flow model, which includes discounted cash flow scenarios and requires the following significant estimates: future expected revenue, expected average selling unit price, obsolescence curve and technology life, and discount rates. Although we believe the assumptions and estimates we have made are reasonable, they are based in part on historical experience, market conditions and information obtained from management of the acquired companies, and are inherently uncertain. Unanticipated events and circumstances may occur, which could affect the accuracy or validity of such assumptions, estimates or actual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Capitalized Production Equipment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 costs for the fabrication of masks used by our contract manufacturers to manufacture wafers that incorporate our products. We capitalize the costs of fabrication masks that are reasonably expected to be used during production manufacturing. These amounts are included within property and equipment and are depreciated over a period of five years to cost of revenue. If we do not reasonably expect to use the fabrication mask during production manufacturing, we expense the related mask costs to research and development in the period in which such determination is made.</w:t>
      </w:r>
    </w:p>
    <w:p>
      <w:pPr>
        <w:pStyle w:val="TextBody"/>
        <w:bidi w:val="0"/>
        <w:spacing w:before="0" w:after="0"/>
        <w:ind w:left="0" w:right="0" w:firstLine="720"/>
        <w:jc w:val="both"/>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more</w:t>
      </w:r>
      <w:r>
        <w:rPr>
          <w:color w:val="231F20"/>
        </w:rPr>
        <w:t xml:space="preserve"> </w:t>
      </w:r>
      <w:r>
        <w:rPr>
          <w:rFonts w:ascii="Times New Roman;serif" w:hAnsi="Times New Roman;serif"/>
          <w:b w:val="false"/>
          <w:color w:val="231F20"/>
          <w:sz w:val="20"/>
        </w:rPr>
        <w:t>information,</w:t>
      </w:r>
      <w:r>
        <w:rPr>
          <w:color w:val="231F20"/>
        </w:rPr>
        <w:t xml:space="preserve"> </w:t>
      </w:r>
      <w:r>
        <w:rPr>
          <w:rFonts w:ascii="Times New Roman;serif" w:hAnsi="Times New Roman;serif"/>
          <w:b w:val="false"/>
          <w:color w:val="231F20"/>
          <w:sz w:val="20"/>
        </w:rPr>
        <w:t>see</w:t>
      </w:r>
      <w:r>
        <w:rPr>
          <w:color w:val="231F20"/>
        </w:rPr>
        <w:t xml:space="preserve"> </w:t>
      </w:r>
      <w:r>
        <w:rPr>
          <w:rFonts w:ascii="Times New Roman;serif" w:hAnsi="Times New Roman;serif"/>
          <w:b w:val="false"/>
          <w:color w:val="231F20"/>
          <w:sz w:val="20"/>
        </w:rPr>
        <w:t>Note</w:t>
      </w:r>
      <w:r>
        <w:rPr>
          <w:color w:val="231F20"/>
        </w:rPr>
        <w:t xml:space="preserve"> </w:t>
      </w:r>
      <w:r>
        <w:rPr>
          <w:rFonts w:ascii="Times New Roman;serif" w:hAnsi="Times New Roman;serif"/>
          <w:b w:val="false"/>
          <w:color w:val="231F20"/>
          <w:sz w:val="20"/>
        </w:rPr>
        <w:t>- 1</w:t>
      </w:r>
      <w:r>
        <w:rPr>
          <w:color w:val="231F20"/>
        </w:rPr>
        <w:t xml:space="preserve"> </w:t>
      </w:r>
      <w:r>
        <w:rPr>
          <w:rFonts w:ascii="Times New Roman;serif" w:hAnsi="Times New Roman;serif"/>
          <w:b w:val="false"/>
          <w:color w:val="231F20"/>
          <w:sz w:val="20"/>
        </w:rPr>
        <w:t>to</w:t>
      </w:r>
      <w:r>
        <w:rPr>
          <w:color w:val="231F20"/>
        </w:rPr>
        <w:t xml:space="preserve"> </w:t>
      </w:r>
      <w:r>
        <w:rPr>
          <w:rFonts w:ascii="Times New Roman;serif" w:hAnsi="Times New Roman;serif"/>
          <w:b w:val="false"/>
          <w:color w:val="231F20"/>
          <w:sz w:val="20"/>
        </w:rPr>
        <w:t>our</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r>
        <w:rPr>
          <w:color w:val="231F20"/>
        </w:rPr>
        <w:t xml:space="preserve"> </w:t>
      </w:r>
      <w:r>
        <w:rPr>
          <w:rFonts w:ascii="Times New Roman;serif" w:hAnsi="Times New Roman;serif"/>
          <w:b w:val="false"/>
          <w:color w:val="231F20"/>
          <w:sz w:val="20"/>
        </w:rPr>
        <w:t>included in Part II, Item 8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120"/>
        <w:ind w:left="0" w:right="0" w:firstLine="576"/>
        <w:jc w:val="both"/>
        <w:rPr>
          <w:rFonts w:ascii="Times New Roman;serif" w:hAnsi="Times New Roman;serif"/>
          <w:b w:val="false"/>
          <w:color w:val="231F20"/>
          <w:sz w:val="20"/>
        </w:rPr>
      </w:pPr>
      <w:r>
        <w:rPr>
          <w:rFonts w:ascii="Times New Roman;serif" w:hAnsi="Times New Roman;serif"/>
          <w:b w:val="false"/>
          <w:color w:val="231F2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Interest Rate Risk</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cash and cash equivalents of $167.6 million and marketable securities of $1,021.2 million, which consisted of cash held in sweep accounts, checking accounts, money market funds, U.S. treasury and agency securities, commercial paper, and corporate debt securities. The cash and cash equivalents are held primarily for working capital purposes.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Such interest earning instruments carry a degree of interest rate risk. To date, fluctuations in interest income are primarily driven by increases in investment balances.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100 basis point change in interest rates would change the fair value of our investments in marketable securities by</w:t>
      </w:r>
      <w:r>
        <w:rPr>
          <w:color w:val="000000"/>
          <w:shd w:fill="FFFFFF" w:val="clear"/>
        </w:rPr>
        <w:t xml:space="preserve"> </w:t>
      </w:r>
      <w:r>
        <w:rPr>
          <w:rFonts w:ascii="Times New Roman;serif" w:hAnsi="Times New Roman;serif"/>
          <w:b w:val="false"/>
          <w:color w:val="000000"/>
          <w:sz w:val="20"/>
          <w:shd w:fill="FFFFFF" w:val="clear"/>
        </w:rPr>
        <w:t>$11.0 m</w:t>
      </w:r>
      <w:r>
        <w:rPr>
          <w:rFonts w:ascii="Times New Roman;serif" w:hAnsi="Times New Roman;serif"/>
          <w:b w:val="false"/>
          <w:color w:val="000000"/>
          <w:sz w:val="20"/>
        </w:rPr>
        <w:t>illion and $8.7 million as of December 31, 2025 and 2024, respectively.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Foreign Currency Exchange Risk</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reporting currency and the functional currency of our wholly owned foreign subsidiaries is the U.S. dollar. All of our sales and the majority of our operating expenses are transacted in U.S. dollars, and therefore our revenue and expenses are not currently subject to significant foreign currency risk. Foreign exchange gains and losses were not material for the years ended December 31, 2025, 2024, and 2023. To date, we have not entered into any hedging arrangements with respect to foreign currency risk or other derivative financial instruments, although we may choose to do so in the future. We do not believe that a hypothetical 100 basis point increase or decrease in the relative value of the U.S. dollar to other currencies would have a material effect on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613"/>
        <w:gridCol w:w="3100"/>
        <w:gridCol w:w="3118"/>
        <w:gridCol w:w="109"/>
        <w:gridCol w:w="109"/>
        <w:gridCol w:w="156"/>
      </w:tblGrid>
      <w:tr>
        <w:trPr/>
        <w:tc>
          <w:tcPr>
            <w:tcW w:w="3613"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54">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No.238)</w:t>
            </w:r>
          </w:p>
        </w:tc>
        <w:tc>
          <w:tcPr>
            <w:tcW w:w="37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66bcd3d8d9d49aca718c5fba2770a17_154">
              <w:r>
                <w:rPr>
                  <w:rStyle w:val="InternetLink"/>
                  <w:rFonts w:ascii="Times New Roman;serif" w:hAnsi="Times New Roman;serif"/>
                  <w:b w:val="false"/>
                  <w:color w:val="0000FF"/>
                  <w:sz w:val="20"/>
                  <w:u w:val="single"/>
                </w:rPr>
                <w:t>53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 Financial Statements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57">
              <w:r>
                <w:rPr>
                  <w:rStyle w:val="InternetLink"/>
                  <w:rFonts w:ascii="Times New Roman;serif" w:hAnsi="Times New Roman;serif"/>
                  <w:b w:val="false"/>
                  <w:color w:val="0000FF"/>
                  <w:sz w:val="20"/>
                  <w:u w:val="single"/>
                </w:rPr>
                <w:t>Consolidated Balance Sheets as of December 31,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157">
              <w:r>
                <w:rPr>
                  <w:rStyle w:val="InternetLink"/>
                  <w:rFonts w:ascii="Times New Roman;serif" w:hAnsi="Times New Roman;serif"/>
                  <w:b w:val="false"/>
                  <w:color w:val="0000FF"/>
                  <w:sz w:val="20"/>
                  <w:u w:val="single"/>
                </w:rPr>
                <w:t>55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60">
              <w:r>
                <w:rPr>
                  <w:rStyle w:val="InternetLink"/>
                  <w:rFonts w:ascii="Times New Roman;serif" w:hAnsi="Times New Roman;serif"/>
                  <w:b w:val="false"/>
                  <w:color w:val="0000FF"/>
                  <w:sz w:val="20"/>
                  <w:u w:val="single"/>
                </w:rPr>
                <w:t>Consolidated Statements of Operations and Comprehensive Income (Loss) for the years ended December 31, 2025, 2024, and 2023</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160">
              <w:r>
                <w:rPr>
                  <w:rStyle w:val="InternetLink"/>
                  <w:rFonts w:ascii="Times New Roman;serif" w:hAnsi="Times New Roman;serif"/>
                  <w:b w:val="false"/>
                  <w:color w:val="0000FF"/>
                  <w:sz w:val="20"/>
                  <w:u w:val="single"/>
                </w:rPr>
                <w:t>56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63">
              <w:r>
                <w:rPr>
                  <w:rStyle w:val="InternetLink"/>
                  <w:rFonts w:ascii="Times New Roman;serif" w:hAnsi="Times New Roman;serif"/>
                  <w:b w:val="false"/>
                  <w:color w:val="0000FF"/>
                  <w:sz w:val="20"/>
                  <w:u w:val="single"/>
                </w:rPr>
                <w:t>Consolidated Statements of Changes in Redeemable Convertible Preferred Stock and Stockholders’ Equity (Deficit) for the years ended December 31, 2025, 2024, and 2023</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163">
              <w:r>
                <w:rPr>
                  <w:rStyle w:val="InternetLink"/>
                  <w:rFonts w:ascii="Times New Roman;serif" w:hAnsi="Times New Roman;serif"/>
                  <w:b w:val="false"/>
                  <w:color w:val="0000FF"/>
                  <w:sz w:val="20"/>
                  <w:u w:val="single"/>
                </w:rPr>
                <w:t>57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66">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166">
              <w:r>
                <w:rPr>
                  <w:rStyle w:val="InternetLink"/>
                  <w:rFonts w:ascii="Times New Roman;serif" w:hAnsi="Times New Roman;serif"/>
                  <w:b w:val="false"/>
                  <w:color w:val="0000FF"/>
                  <w:sz w:val="20"/>
                  <w:u w:val="single"/>
                </w:rPr>
                <w:t>58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169">
              <w:r>
                <w:rPr>
                  <w:rStyle w:val="InternetLink"/>
                  <w:rFonts w:ascii="Times New Roman;serif" w:hAnsi="Times New Roman;serif"/>
                  <w:b w:val="false"/>
                  <w:color w:val="0000FF"/>
                  <w:sz w:val="20"/>
                  <w:u w:val="single"/>
                </w:rPr>
                <w:t>Notes to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66bcd3d8d9d49aca718c5fba2770a17_169">
              <w:r>
                <w:rPr>
                  <w:rStyle w:val="InternetLink"/>
                  <w:rFonts w:ascii="Times New Roman;serif" w:hAnsi="Times New Roman;serif"/>
                  <w:b w:val="false"/>
                  <w:color w:val="0000FF"/>
                  <w:sz w:val="20"/>
                  <w:u w:val="singl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REPORT OF INDEPENDENT REGISTERED PUBLIC ACCOUNTING FIRM</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To the Board of Directors and Stockholders of Astera Labs, Inc.</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Opinions on the Financial Statements and Internal Control over Financial Reporting</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We have audited the accompanying consolidated balance sheets of Astera Labs, Inc. and its subsidiaries (the "Company") as of December 31, 2025 and 2024, and the related consolidated statements of operations and comprehensive income (loss), of changes in redeemable convertible preferred stock and stockholders' equity (deficit) and of cash flows for the years then ended, including the related notes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231F20"/>
          <w:sz w:val="20"/>
        </w:rPr>
        <w:t>Internal Control - Integrated Framework</w:t>
      </w:r>
      <w:r>
        <w:rPr>
          <w:color w:val="231F20"/>
        </w:rPr>
        <w:t xml:space="preserve"> </w:t>
      </w:r>
      <w:r>
        <w:rPr>
          <w:rFonts w:ascii="Times New Roman;serif" w:hAnsi="Times New Roman;serif"/>
          <w:b w:val="false"/>
          <w:color w:val="231F20"/>
          <w:sz w:val="20"/>
        </w:rPr>
        <w:t>(2013) issued by the Committee of Sponsoring Organizations of the Treadway Commission (COSO).</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Basis for Opinions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Definition and Limitations of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231F20"/>
                                <w:sz w:val="20"/>
                              </w:rPr>
                            </w:pPr>
                            <w:r>
                              <w:rPr>
                                <w:rFonts w:ascii="Times New Roman;serif" w:hAnsi="Times New Roman;serif"/>
                                <w:b w:val="false"/>
                                <w:color w:val="231F2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231F20"/>
                          <w:sz w:val="20"/>
                        </w:rPr>
                      </w:pPr>
                      <w:r>
                        <w:rPr>
                          <w:rFonts w:ascii="Times New Roman;serif" w:hAnsi="Times New Roman;serif"/>
                          <w:b w:val="false"/>
                          <w:color w:val="231F20"/>
                          <w:sz w:val="20"/>
                        </w:rPr>
                        <w:t>53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Critical Audit Matters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Acquisition of aiXscale Photonics GmbH</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As described in Notes 1 and 6 to the consolidated financial statements, on November 10, 2025, the Company completed the acquisition of aiXscale Photonics GmbH (“aiXscale”). The total purchase consideration was $31.1 million. The acquisition was accounted for as a business combination and the purchase consideration was allocated as follows: $14.5 million to an in</w:t>
        <w:noBreakHyphen/>
        <w:t xml:space="preserve">process research and development (“IPR&amp;D”) intangible asset, $(0.3) million to net identifiable assets acquired and liabilities assumed, and the excess of purchase consideration over fair value of $16.9 million recorded as goodwill, which was allocated to the Company’s single reporting unit and operating segment. The IPR&amp;D intangible asset was valued based on an income approach. The income approach includes the use of a discounted cash flow model, which includes discounted cash flow scenarios and requires the following significant estimates: future expected revenue, expected average selling unit price, obsolescence curve and technology life, and discount rates.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principal considerations for our determination that performing procedures relating to the accounting for the acquisition of aiXscale is a critical audit matter are a high degree of auditor effort in performing procedures and evaluating audit evidence relating to the Company’s acquisition accounting. As disclosed by management, a material weakness existed during the year that impacted this matter.</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acquisition accounting. These procedures also included, among others, (i) reading the purchase agreement; (ii) evaluating management’s identification of assets acquired and liabilities assumed; (iii) testing the purchase consideration transferred and the allocation of the purchase price to the acquired assets and liabilities; (iv) evaluating the tax impact associated with the acquisition; (v) assessing the related business combination disclosures included in the consolidated financial statements; and (vi) the use of professionals with specialized skill and knowledge to assist in evaluating the appropriateness of the discounted cash flow model used by management. </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/s/ PricewaterhouseCoopers LLP </w:t>
      </w:r>
    </w:p>
    <w:p>
      <w:pPr>
        <w:pStyle w:val="TextBody"/>
        <w:bidi w:val="0"/>
        <w:spacing w:lineRule="auto" w:line="288" w:before="0" w:after="0"/>
        <w:jc w:val="both"/>
        <w:rPr>
          <w:rFonts w:ascii="Times New Roman;serif" w:hAnsi="Times New Roman;serif"/>
          <w:b w:val="false"/>
          <w:color w:val="231F20"/>
          <w:sz w:val="20"/>
        </w:rPr>
      </w:pPr>
      <w:r>
        <w:rPr>
          <w:rFonts w:ascii="Times New Roman;serif" w:hAnsi="Times New Roman;serif"/>
          <w:b w:val="false"/>
          <w:color w:val="231F20"/>
          <w:sz w:val="20"/>
        </w:rPr>
        <w:t>Phoenix, Arizona</w:t>
      </w:r>
    </w:p>
    <w:p>
      <w:pPr>
        <w:pStyle w:val="TextBody"/>
        <w:bidi w:val="0"/>
        <w:spacing w:lineRule="auto" w:line="288" w:before="0" w:after="0"/>
        <w:jc w:val="both"/>
        <w:rPr>
          <w:rFonts w:ascii="Times New Roman;serif" w:hAnsi="Times New Roman;serif"/>
          <w:b w:val="false"/>
          <w:color w:val="231F20"/>
          <w:sz w:val="20"/>
        </w:rPr>
      </w:pPr>
      <w:r>
        <w:rPr>
          <w:rFonts w:ascii="Times New Roman;serif" w:hAnsi="Times New Roman;serif"/>
          <w:b w:val="false"/>
          <w:color w:val="231F20"/>
          <w:sz w:val="20"/>
        </w:rPr>
        <w:t>February 20, 2026</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We have served as the Company’s auditor since 2020, which includes periods before the Company became subject to SEC reporting requirements.</w:t>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231F20"/>
                                <w:sz w:val="20"/>
                              </w:rPr>
                            </w:pPr>
                            <w:r>
                              <w:rPr>
                                <w:rFonts w:ascii="Times New Roman;serif" w:hAnsi="Times New Roman;serif"/>
                                <w:b w:val="false"/>
                                <w:color w:val="231F2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231F20"/>
                          <w:sz w:val="20"/>
                        </w:rPr>
                      </w:pPr>
                      <w:r>
                        <w:rPr>
                          <w:rFonts w:ascii="Times New Roman;serif" w:hAnsi="Times New Roman;serif"/>
                          <w:b w:val="false"/>
                          <w:color w:val="231F20"/>
                          <w:sz w:val="20"/>
                        </w:rPr>
                        <w:t>54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ASTERA LABS, INC., </w:t>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CONSOLIDATED BALANCE SHEETS</w:t>
      </w:r>
    </w:p>
    <w:p>
      <w:pPr>
        <w:pStyle w:val="TextBody"/>
        <w:bidi w:val="0"/>
        <w:spacing w:lineRule="auto" w:line="288" w:before="0" w:after="0"/>
        <w:jc w:val="center"/>
        <w:rPr/>
      </w:pPr>
      <w:r>
        <w:rPr>
          <w:rFonts w:ascii="Times New Roman;serif" w:hAnsi="Times New Roman;serif"/>
          <w:b/>
          <w:color w:val="231F20"/>
          <w:sz w:val="16"/>
        </w:rPr>
        <w:t>(In thousands,</w:t>
      </w:r>
      <w:r>
        <w:rPr>
          <w:color w:val="231F20"/>
        </w:rPr>
        <w:t xml:space="preserve"> </w:t>
      </w:r>
      <w:r>
        <w:rPr>
          <w:rFonts w:ascii="Times New Roman;serif" w:hAnsi="Times New Roman;serif"/>
          <w:b/>
          <w:color w:val="231F20"/>
          <w:sz w:val="16"/>
        </w:rPr>
        <w:t>except par values)</w:t>
      </w:r>
    </w:p>
    <w:tbl>
      <w:tblPr>
        <w:tblW w:w="10205" w:type="dxa"/>
        <w:jc w:val="left"/>
        <w:tblInd w:w="0" w:type="dxa"/>
        <w:tblLayout w:type="fixed"/>
        <w:tblCellMar>
          <w:top w:w="28" w:type="dxa"/>
          <w:left w:w="28" w:type="dxa"/>
          <w:bottom w:w="28" w:type="dxa"/>
          <w:right w:w="28" w:type="dxa"/>
        </w:tblCellMar>
      </w:tblPr>
      <w:tblGrid>
        <w:gridCol w:w="2763"/>
        <w:gridCol w:w="2271"/>
        <w:gridCol w:w="2206"/>
        <w:gridCol w:w="211"/>
        <w:gridCol w:w="976"/>
        <w:gridCol w:w="109"/>
        <w:gridCol w:w="109"/>
        <w:gridCol w:w="109"/>
        <w:gridCol w:w="109"/>
        <w:gridCol w:w="211"/>
        <w:gridCol w:w="976"/>
        <w:gridCol w:w="155"/>
      </w:tblGrid>
      <w:tr>
        <w:trPr/>
        <w:tc>
          <w:tcPr>
            <w:tcW w:w="2763"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834,750 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1,012,979 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1,054,508 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59,624 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 shares authorized as of December 31, 2025 and 2024, respectively; 170,186 and 162,018 shares issued and outstanding as of December 31, 2025 and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1,173,153 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(208,796)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964,799 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1,054,508 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83870"/>
                <wp:effectExtent l="0" t="0" r="0" b="0"/>
                <wp:wrapNone/>
                <wp:docPr id="61" name="Frame60"/>
                <a:graphic xmlns:a="http://schemas.openxmlformats.org/drawingml/2006/main">
                  <a:graphicData uri="http://schemas.microsoft.com/office/word/2010/wordprocessingShape">
                    <wps:wsp>
                      <wps:cNvSpPr txBox="1"/>
                      <wps:spPr>
                        <a:xfrm>
                          <a:off x="0" y="0"/>
                          <a:ext cx="6480175" cy="483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231F20"/>
                                <w:sz w:val="20"/>
                              </w:rPr>
                              <w:t>The accompanying</w:t>
                            </w:r>
                            <w:r>
                              <w:rPr>
                                <w:color w:val="231F20"/>
                              </w:rPr>
                              <w:t xml:space="preserve"> </w:t>
                            </w:r>
                            <w:r>
                              <w:rPr>
                                <w:rFonts w:ascii="Times New Roman;serif" w:hAnsi="Times New Roman;serif"/>
                                <w:b w:val="false"/>
                                <w:color w:val="231F20"/>
                                <w:sz w:val="20"/>
                              </w:rPr>
                              <w:t>notes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an integral</w:t>
                            </w:r>
                            <w:r>
                              <w:rPr>
                                <w:color w:val="231F20"/>
                              </w:rPr>
                              <w:t xml:space="preserve"> </w:t>
                            </w:r>
                            <w:r>
                              <w:rPr>
                                <w:rFonts w:ascii="Times New Roman;serif" w:hAnsi="Times New Roman;serif"/>
                                <w:b w:val="false"/>
                                <w:color w:val="231F20"/>
                                <w:sz w:val="20"/>
                              </w:rPr>
                              <w:t>part</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231F20"/>
                          <w:sz w:val="20"/>
                        </w:rPr>
                        <w:t>The accompanying</w:t>
                      </w:r>
                      <w:r>
                        <w:rPr>
                          <w:color w:val="231F20"/>
                        </w:rPr>
                        <w:t xml:space="preserve"> </w:t>
                      </w:r>
                      <w:r>
                        <w:rPr>
                          <w:rFonts w:ascii="Times New Roman;serif" w:hAnsi="Times New Roman;serif"/>
                          <w:b w:val="false"/>
                          <w:color w:val="231F20"/>
                          <w:sz w:val="20"/>
                        </w:rPr>
                        <w:t>notes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an integral</w:t>
                      </w:r>
                      <w:r>
                        <w:rPr>
                          <w:color w:val="231F20"/>
                        </w:rPr>
                        <w:t xml:space="preserve"> </w:t>
                      </w:r>
                      <w:r>
                        <w:rPr>
                          <w:rFonts w:ascii="Times New Roman;serif" w:hAnsi="Times New Roman;serif"/>
                          <w:b w:val="false"/>
                          <w:color w:val="231F20"/>
                          <w:sz w:val="20"/>
                        </w:rPr>
                        <w:t>part</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ASTERA LABS, INC., </w:t>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CONSOLIDATED STATEMENTS OF OPERATIONS AND COMPREHENSIVE INCOME (LOSS)</w:t>
      </w:r>
    </w:p>
    <w:p>
      <w:pPr>
        <w:pStyle w:val="TextBody"/>
        <w:bidi w:val="0"/>
        <w:spacing w:lineRule="auto" w:line="288" w:before="0" w:after="0"/>
        <w:jc w:val="center"/>
        <w:rPr/>
      </w:pPr>
      <w:r>
        <w:rPr>
          <w:rFonts w:ascii="Times New Roman;serif" w:hAnsi="Times New Roman;serif"/>
          <w:b/>
          <w:color w:val="231F20"/>
          <w:sz w:val="16"/>
        </w:rPr>
        <w:t>(In thousands,</w:t>
      </w:r>
      <w:r>
        <w:rPr>
          <w:color w:val="231F20"/>
        </w:rPr>
        <w:t xml:space="preserve"> </w:t>
      </w:r>
      <w:r>
        <w:rPr>
          <w:rFonts w:ascii="Times New Roman;serif" w:hAnsi="Times New Roman;serif"/>
          <w:b/>
          <w:color w:val="231F20"/>
          <w:sz w:val="16"/>
        </w:rPr>
        <w:t>except per share amounts)</w:t>
      </w:r>
    </w:p>
    <w:tbl>
      <w:tblPr>
        <w:tblW w:w="10205" w:type="dxa"/>
        <w:jc w:val="left"/>
        <w:tblInd w:w="0" w:type="dxa"/>
        <w:tblLayout w:type="fixed"/>
        <w:tblCellMar>
          <w:top w:w="28" w:type="dxa"/>
          <w:left w:w="28" w:type="dxa"/>
          <w:bottom w:w="28" w:type="dxa"/>
          <w:right w:w="28" w:type="dxa"/>
        </w:tblCellMar>
      </w:tblPr>
      <w:tblGrid>
        <w:gridCol w:w="2376"/>
        <w:gridCol w:w="1847"/>
        <w:gridCol w:w="1844"/>
        <w:gridCol w:w="211"/>
        <w:gridCol w:w="826"/>
        <w:gridCol w:w="109"/>
        <w:gridCol w:w="109"/>
        <w:gridCol w:w="109"/>
        <w:gridCol w:w="109"/>
        <w:gridCol w:w="211"/>
        <w:gridCol w:w="826"/>
        <w:gridCol w:w="109"/>
        <w:gridCol w:w="109"/>
        <w:gridCol w:w="109"/>
        <w:gridCol w:w="109"/>
        <w:gridCol w:w="211"/>
        <w:gridCol w:w="826"/>
        <w:gridCol w:w="155"/>
      </w:tblGrid>
      <w:tr>
        <w:trPr/>
        <w:tc>
          <w:tcPr>
            <w:tcW w:w="237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645,261 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79,827 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109,324 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(29,497)</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44,730 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(81,778)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(22,948)</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income (loss)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(83,254)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(25,769)</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83870"/>
                <wp:effectExtent l="0" t="0" r="0" b="0"/>
                <wp:wrapNone/>
                <wp:docPr id="62" name="Frame61"/>
                <a:graphic xmlns:a="http://schemas.openxmlformats.org/drawingml/2006/main">
                  <a:graphicData uri="http://schemas.microsoft.com/office/word/2010/wordprocessingShape">
                    <wps:wsp>
                      <wps:cNvSpPr txBox="1"/>
                      <wps:spPr>
                        <a:xfrm>
                          <a:off x="0" y="0"/>
                          <a:ext cx="6480175" cy="483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231F20"/>
                                <w:sz w:val="20"/>
                              </w:rPr>
                              <w:t>The accompanying</w:t>
                            </w:r>
                            <w:r>
                              <w:rPr>
                                <w:color w:val="231F20"/>
                              </w:rPr>
                              <w:t xml:space="preserve"> </w:t>
                            </w:r>
                            <w:r>
                              <w:rPr>
                                <w:rFonts w:ascii="Times New Roman;serif" w:hAnsi="Times New Roman;serif"/>
                                <w:b w:val="false"/>
                                <w:color w:val="231F20"/>
                                <w:sz w:val="20"/>
                              </w:rPr>
                              <w:t>notes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an integral</w:t>
                            </w:r>
                            <w:r>
                              <w:rPr>
                                <w:color w:val="231F20"/>
                              </w:rPr>
                              <w:t xml:space="preserve"> </w:t>
                            </w:r>
                            <w:r>
                              <w:rPr>
                                <w:rFonts w:ascii="Times New Roman;serif" w:hAnsi="Times New Roman;serif"/>
                                <w:b w:val="false"/>
                                <w:color w:val="231F20"/>
                                <w:sz w:val="20"/>
                              </w:rPr>
                              <w:t>part</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231F20"/>
                          <w:sz w:val="20"/>
                        </w:rPr>
                        <w:t>The accompanying</w:t>
                      </w:r>
                      <w:r>
                        <w:rPr>
                          <w:color w:val="231F20"/>
                        </w:rPr>
                        <w:t xml:space="preserve"> </w:t>
                      </w:r>
                      <w:r>
                        <w:rPr>
                          <w:rFonts w:ascii="Times New Roman;serif" w:hAnsi="Times New Roman;serif"/>
                          <w:b w:val="false"/>
                          <w:color w:val="231F20"/>
                          <w:sz w:val="20"/>
                        </w:rPr>
                        <w:t>notes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an integral</w:t>
                      </w:r>
                      <w:r>
                        <w:rPr>
                          <w:color w:val="231F20"/>
                        </w:rPr>
                        <w:t xml:space="preserve"> </w:t>
                      </w:r>
                      <w:r>
                        <w:rPr>
                          <w:rFonts w:ascii="Times New Roman;serif" w:hAnsi="Times New Roman;serif"/>
                          <w:b w:val="false"/>
                          <w:color w:val="231F20"/>
                          <w:sz w:val="20"/>
                        </w:rPr>
                        <w:t>part</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ASTERA LABS, INC., </w:t>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CONSOLIDATED STATEMENTS OF CHANGES IN REDEEMABLE CONVERTIBLE PREFERRED STOCK AND STOCKHOLDERS’ EQUITY (DEFICIT)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tbl>
      <w:tblPr>
        <w:tblW w:w="11411" w:type="dxa"/>
        <w:jc w:val="left"/>
        <w:tblInd w:w="0" w:type="dxa"/>
        <w:tblLayout w:type="fixed"/>
        <w:tblCellMar>
          <w:top w:w="28" w:type="dxa"/>
          <w:left w:w="28" w:type="dxa"/>
          <w:bottom w:w="28" w:type="dxa"/>
          <w:right w:w="28" w:type="dxa"/>
        </w:tblCellMar>
      </w:tblPr>
      <w:tblGrid>
        <w:gridCol w:w="544"/>
        <w:gridCol w:w="268"/>
        <w:gridCol w:w="269"/>
        <w:gridCol w:w="330"/>
        <w:gridCol w:w="331"/>
        <w:gridCol w:w="203"/>
        <w:gridCol w:w="109"/>
        <w:gridCol w:w="109"/>
        <w:gridCol w:w="109"/>
        <w:gridCol w:w="196"/>
        <w:gridCol w:w="736"/>
        <w:gridCol w:w="109"/>
        <w:gridCol w:w="109"/>
        <w:gridCol w:w="109"/>
        <w:gridCol w:w="109"/>
        <w:gridCol w:w="246"/>
        <w:gridCol w:w="242"/>
        <w:gridCol w:w="203"/>
        <w:gridCol w:w="109"/>
        <w:gridCol w:w="109"/>
        <w:gridCol w:w="109"/>
        <w:gridCol w:w="208"/>
        <w:gridCol w:w="367"/>
        <w:gridCol w:w="116"/>
        <w:gridCol w:w="109"/>
        <w:gridCol w:w="109"/>
        <w:gridCol w:w="109"/>
        <w:gridCol w:w="196"/>
        <w:gridCol w:w="886"/>
        <w:gridCol w:w="109"/>
        <w:gridCol w:w="109"/>
        <w:gridCol w:w="109"/>
        <w:gridCol w:w="109"/>
        <w:gridCol w:w="272"/>
        <w:gridCol w:w="792"/>
        <w:gridCol w:w="152"/>
        <w:gridCol w:w="109"/>
        <w:gridCol w:w="109"/>
        <w:gridCol w:w="109"/>
        <w:gridCol w:w="196"/>
        <w:gridCol w:w="806"/>
        <w:gridCol w:w="109"/>
        <w:gridCol w:w="109"/>
        <w:gridCol w:w="109"/>
        <w:gridCol w:w="109"/>
        <w:gridCol w:w="196"/>
        <w:gridCol w:w="88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 Convertible</w:t>
              <w:br/>
              <w:t>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2022</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(85,292)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 and vesting of early exercised stock options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upon termination</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contra revenue</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marketable securities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2023</w:t>
            </w:r>
          </w:p>
        </w:tc>
        <w:tc>
          <w:tcPr>
            <w:tcW w:w="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redeemable convertible preferred stock into common stock in connection with initial public offering</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(90,891)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initial public offering, net of offering costs, underwriting discounts and commissions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665,990 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 and vesting of early exercised stock options</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plan</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withheld related to net settlement of restricted stock units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upon termination</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contra revenue</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marketable securities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(83,421)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2024</w:t>
            </w:r>
          </w:p>
        </w:tc>
        <w:tc>
          <w:tcPr>
            <w:tcW w:w="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1,173,153 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964,799 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 and vesting of early exercised stock options</w:t>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2,292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employee stock purchase plan</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7,978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Shares issued related to acquisition</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160,033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contra revenue</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5,514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marketable securities</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3,884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219,134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2025</w:t>
            </w:r>
          </w:p>
        </w:tc>
        <w:tc>
          <w:tcPr>
            <w:tcW w:w="8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170,186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1,348,969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4,310</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10,338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1,363,634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83870"/>
                <wp:effectExtent l="0" t="0" r="0" b="0"/>
                <wp:wrapNone/>
                <wp:docPr id="63" name="Frame62"/>
                <a:graphic xmlns:a="http://schemas.openxmlformats.org/drawingml/2006/main">
                  <a:graphicData uri="http://schemas.microsoft.com/office/word/2010/wordprocessingShape">
                    <wps:wsp>
                      <wps:cNvSpPr txBox="1"/>
                      <wps:spPr>
                        <a:xfrm>
                          <a:off x="0" y="0"/>
                          <a:ext cx="6480175" cy="483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231F20"/>
                                <w:sz w:val="20"/>
                              </w:rPr>
                              <w:t>The accompanying</w:t>
                            </w:r>
                            <w:r>
                              <w:rPr>
                                <w:color w:val="231F20"/>
                              </w:rPr>
                              <w:t xml:space="preserve"> </w:t>
                            </w:r>
                            <w:r>
                              <w:rPr>
                                <w:rFonts w:ascii="Times New Roman;serif" w:hAnsi="Times New Roman;serif"/>
                                <w:b w:val="false"/>
                                <w:color w:val="231F20"/>
                                <w:sz w:val="20"/>
                              </w:rPr>
                              <w:t>notes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an integral</w:t>
                            </w:r>
                            <w:r>
                              <w:rPr>
                                <w:color w:val="231F20"/>
                              </w:rPr>
                              <w:t xml:space="preserve"> </w:t>
                            </w:r>
                            <w:r>
                              <w:rPr>
                                <w:rFonts w:ascii="Times New Roman;serif" w:hAnsi="Times New Roman;serif"/>
                                <w:b w:val="false"/>
                                <w:color w:val="231F20"/>
                                <w:sz w:val="20"/>
                              </w:rPr>
                              <w:t>part</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231F20"/>
                          <w:sz w:val="20"/>
                        </w:rPr>
                        <w:t>The accompanying</w:t>
                      </w:r>
                      <w:r>
                        <w:rPr>
                          <w:color w:val="231F20"/>
                        </w:rPr>
                        <w:t xml:space="preserve"> </w:t>
                      </w:r>
                      <w:r>
                        <w:rPr>
                          <w:rFonts w:ascii="Times New Roman;serif" w:hAnsi="Times New Roman;serif"/>
                          <w:b w:val="false"/>
                          <w:color w:val="231F20"/>
                          <w:sz w:val="20"/>
                        </w:rPr>
                        <w:t>notes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an integral</w:t>
                      </w:r>
                      <w:r>
                        <w:rPr>
                          <w:color w:val="231F20"/>
                        </w:rPr>
                        <w:t xml:space="preserve"> </w:t>
                      </w:r>
                      <w:r>
                        <w:rPr>
                          <w:rFonts w:ascii="Times New Roman;serif" w:hAnsi="Times New Roman;serif"/>
                          <w:b w:val="false"/>
                          <w:color w:val="231F20"/>
                          <w:sz w:val="20"/>
                        </w:rPr>
                        <w:t>part</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ASTERA LABS, INC., </w:t>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CONSOLIDATED STATEMENTS OF CASH FLOWS</w:t>
      </w:r>
    </w:p>
    <w:p>
      <w:pPr>
        <w:pStyle w:val="TextBody"/>
        <w:bidi w:val="0"/>
        <w:spacing w:lineRule="auto" w:line="288" w:before="0" w:after="0"/>
        <w:jc w:val="center"/>
        <w:rPr>
          <w:rFonts w:ascii="Times New Roman;serif" w:hAnsi="Times New Roman;serif"/>
          <w:b/>
          <w:color w:val="231F20"/>
          <w:sz w:val="16"/>
        </w:rPr>
      </w:pPr>
      <w:r>
        <w:rPr>
          <w:rFonts w:ascii="Times New Roman;serif" w:hAnsi="Times New Roman;serif"/>
          <w:b/>
          <w:color w:val="231F20"/>
          <w:sz w:val="16"/>
        </w:rPr>
        <w:t>(In thousands)</w:t>
      </w:r>
    </w:p>
    <w:tbl>
      <w:tblPr>
        <w:tblW w:w="10205" w:type="dxa"/>
        <w:jc w:val="center"/>
        <w:tblInd w:w="0" w:type="dxa"/>
        <w:tblLayout w:type="fixed"/>
        <w:tblCellMar>
          <w:top w:w="28" w:type="dxa"/>
          <w:left w:w="28" w:type="dxa"/>
          <w:bottom w:w="28" w:type="dxa"/>
          <w:right w:w="28" w:type="dxa"/>
        </w:tblCellMar>
      </w:tblPr>
      <w:tblGrid>
        <w:gridCol w:w="2332"/>
        <w:gridCol w:w="1919"/>
        <w:gridCol w:w="1933"/>
        <w:gridCol w:w="211"/>
        <w:gridCol w:w="826"/>
        <w:gridCol w:w="109"/>
        <w:gridCol w:w="109"/>
        <w:gridCol w:w="109"/>
        <w:gridCol w:w="109"/>
        <w:gridCol w:w="211"/>
        <w:gridCol w:w="767"/>
        <w:gridCol w:w="109"/>
        <w:gridCol w:w="109"/>
        <w:gridCol w:w="109"/>
        <w:gridCol w:w="109"/>
        <w:gridCol w:w="211"/>
        <w:gridCol w:w="767"/>
        <w:gridCol w:w="156"/>
      </w:tblGrid>
      <w:tr>
        <w:trPr/>
        <w:tc>
          <w:tcPr>
            <w:tcW w:w="2332"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contra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discounts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(126,225)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Payments for business combinations,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connection with initial public offering, net of underwriting discounts and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related to net share settlements of restricted stock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upon termination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cash equivalents, and restricted cash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color w:val="000000"/>
                <w:sz w:val="20"/>
              </w:rPr>
              <w:t xml:space="preserve">Cash, cash equivalents, and restricted cash </w:t>
            </w:r>
            <w:r>
              <w:rPr>
                <w:rFonts w:ascii="Times New Roman;serif" w:hAnsi="Times New Roman;serif"/>
                <w:b/>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Beginning of the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6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6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61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left"/>
        <w:rPr>
          <w:rFonts w:ascii="Times New Roman;serif" w:hAnsi="Times New Roman;serif"/>
          <w:b w:val="false"/>
          <w:color w:val="000000"/>
          <w:sz w:val="20"/>
        </w:rPr>
      </w:pPr>
      <w:r>
        <w:rPr>
          <w:rFonts w:ascii="Times New Roman;serif" w:hAnsi="Times New Roman;serif"/>
          <w:b w:val="false"/>
          <w:color w:val="000000"/>
          <w:sz w:val="20"/>
        </w:rPr>
        <w:t>(1) Restricted cash was not material and is included in Prepaid expenses and other 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83870"/>
                <wp:effectExtent l="0" t="0" r="0" b="0"/>
                <wp:wrapNone/>
                <wp:docPr id="64" name="Frame63"/>
                <a:graphic xmlns:a="http://schemas.openxmlformats.org/drawingml/2006/main">
                  <a:graphicData uri="http://schemas.microsoft.com/office/word/2010/wordprocessingShape">
                    <wps:wsp>
                      <wps:cNvSpPr txBox="1"/>
                      <wps:spPr>
                        <a:xfrm>
                          <a:off x="0" y="0"/>
                          <a:ext cx="6480175" cy="483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231F20"/>
                                <w:sz w:val="20"/>
                              </w:rPr>
                              <w:t>The accompanying</w:t>
                            </w:r>
                            <w:r>
                              <w:rPr>
                                <w:color w:val="231F20"/>
                              </w:rPr>
                              <w:t xml:space="preserve"> </w:t>
                            </w:r>
                            <w:r>
                              <w:rPr>
                                <w:rFonts w:ascii="Times New Roman;serif" w:hAnsi="Times New Roman;serif"/>
                                <w:b w:val="false"/>
                                <w:color w:val="231F20"/>
                                <w:sz w:val="20"/>
                              </w:rPr>
                              <w:t>notes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an integral</w:t>
                            </w:r>
                            <w:r>
                              <w:rPr>
                                <w:color w:val="231F20"/>
                              </w:rPr>
                              <w:t xml:space="preserve"> </w:t>
                            </w:r>
                            <w:r>
                              <w:rPr>
                                <w:rFonts w:ascii="Times New Roman;serif" w:hAnsi="Times New Roman;serif"/>
                                <w:b w:val="false"/>
                                <w:color w:val="231F20"/>
                                <w:sz w:val="20"/>
                              </w:rPr>
                              <w:t>part</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231F20"/>
                          <w:sz w:val="20"/>
                        </w:rPr>
                        <w:t>The accompanying</w:t>
                      </w:r>
                      <w:r>
                        <w:rPr>
                          <w:color w:val="231F20"/>
                        </w:rPr>
                        <w:t xml:space="preserve"> </w:t>
                      </w:r>
                      <w:r>
                        <w:rPr>
                          <w:rFonts w:ascii="Times New Roman;serif" w:hAnsi="Times New Roman;serif"/>
                          <w:b w:val="false"/>
                          <w:color w:val="231F20"/>
                          <w:sz w:val="20"/>
                        </w:rPr>
                        <w:t>notes</w:t>
                      </w:r>
                      <w:r>
                        <w:rPr>
                          <w:color w:val="231F20"/>
                        </w:rPr>
                        <w:t xml:space="preserve"> </w:t>
                      </w:r>
                      <w:r>
                        <w:rPr>
                          <w:rFonts w:ascii="Times New Roman;serif" w:hAnsi="Times New Roman;serif"/>
                          <w:b w:val="false"/>
                          <w:color w:val="231F20"/>
                          <w:sz w:val="20"/>
                        </w:rPr>
                        <w:t>are</w:t>
                      </w:r>
                      <w:r>
                        <w:rPr>
                          <w:color w:val="231F20"/>
                        </w:rPr>
                        <w:t xml:space="preserve"> </w:t>
                      </w:r>
                      <w:r>
                        <w:rPr>
                          <w:rFonts w:ascii="Times New Roman;serif" w:hAnsi="Times New Roman;serif"/>
                          <w:b w:val="false"/>
                          <w:color w:val="231F20"/>
                          <w:sz w:val="20"/>
                        </w:rPr>
                        <w:t>an integral</w:t>
                      </w:r>
                      <w:r>
                        <w:rPr>
                          <w:color w:val="231F20"/>
                        </w:rPr>
                        <w:t xml:space="preserve"> </w:t>
                      </w:r>
                      <w:r>
                        <w:rPr>
                          <w:rFonts w:ascii="Times New Roman;serif" w:hAnsi="Times New Roman;serif"/>
                          <w:b w:val="false"/>
                          <w:color w:val="231F20"/>
                          <w:sz w:val="20"/>
                        </w:rPr>
                        <w:t>part</w:t>
                      </w:r>
                      <w:r>
                        <w:rPr>
                          <w:color w:val="231F20"/>
                        </w:rPr>
                        <w:t xml:space="preserve"> </w:t>
                      </w:r>
                      <w:r>
                        <w:rPr>
                          <w:rFonts w:ascii="Times New Roman;serif" w:hAnsi="Times New Roman;serif"/>
                          <w:b w:val="false"/>
                          <w:color w:val="231F20"/>
                          <w:sz w:val="20"/>
                        </w:rPr>
                        <w:t>of these</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statements.</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ASTERA LABS, INC., </w:t>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1.Nature of Business and Summary of Significant Accounting Policies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Description of Business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Astera Labs, Inc. (the “Company”) offers an Intelligent Connectivity Platform, comprised of semiconductor-based, high-speed, mixed-signal connectivity products that integrate a matrix of microcontrollers and sensors, and COSMOS, the Company’s software suite, which is embedded in its connectivity products and integrated into its customers’ systems.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patented software-defined platform approach delivers critical connectivity performance, enables flexibility and customization, and supports observability and predictive analytics. This approach aims to efficiently address the data, network, and memory bottlenecks, scalability, and other unique infrastructure requirements of its hyperscalers and system original equipment manufacturers (“OEMs”) customers.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Basis of Presentation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consolidated financial statements and accompanying notes were prepared in accordance with accounting principles generally accepted in the United States of America (“GAAP”).</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Principles of Consolidation</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consolidated financial statements include the accounts of Astera Labs, Inc. and its wholly owned subsidiaries. All intercompany balances and transactions have been eliminated in consolidation.</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Use of Estimates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The Company’s significant estimates include, but are not limited to, revenue recognition, the valuation of acquired intangible assets, the valuation of deferred tax assets, reserves for uncertain tax positions, useful life of tapeout masks, the valuation of warrants, and the valuation and assumptions underlying stock-based compensation. By their nature, estimates are subject to an inherent degree of uncertainty and actual results could differ from those estimates.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assessed certain accounting matters and estimates that generally require consideration of forecasted information available to the Company. Management is not aware of any specific event or circumstance that would require an update to estimates or judgments or a revision to the carrying value of assets or liabilities. These estimates and judgments may change as new events occur and additional information is obtained, which may result in changes being recognized in the Company’s consolidated financial statements in future periods, and actual results could differ from these estimates.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Reclassifications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prior period balances were reclassified to conform to the current period’s presentation. None of these reclassifications had an impact on reported net income (loss), balance sheets, or cash flows for any of the periods presented.</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Revenue Recognition</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The Company recognizes revenue upon transfer of control of promised goods and services in an amount that reflects the consideration it expects to receive in exchange for those goods and services. Under Accounting Standards Codification (“ASC”) 606, </w:t>
      </w:r>
      <w:r>
        <w:rPr>
          <w:rFonts w:ascii="Times New Roman;serif" w:hAnsi="Times New Roman;serif"/>
          <w:b w:val="false"/>
          <w:i/>
          <w:color w:val="231F20"/>
          <w:sz w:val="20"/>
        </w:rPr>
        <w:t xml:space="preserve">Revenue from Contracts with Customers </w:t>
      </w:r>
      <w:r>
        <w:rPr>
          <w:rFonts w:ascii="Times New Roman;serif" w:hAnsi="Times New Roman;serif"/>
          <w:b w:val="false"/>
          <w:color w:val="231F20"/>
          <w:sz w:val="20"/>
        </w:rPr>
        <w:t>(“ASC 606”),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revenue disaggregated by type (in thousands):</w:t>
      </w:r>
    </w:p>
    <w:tbl>
      <w:tblPr>
        <w:tblW w:w="5951" w:type="dxa"/>
        <w:jc w:val="left"/>
        <w:tblInd w:w="0" w:type="dxa"/>
        <w:tblLayout w:type="fixed"/>
        <w:tblCellMar>
          <w:top w:w="28" w:type="dxa"/>
          <w:left w:w="28" w:type="dxa"/>
          <w:bottom w:w="28" w:type="dxa"/>
          <w:right w:w="28" w:type="dxa"/>
        </w:tblCellMar>
      </w:tblPr>
      <w:tblGrid>
        <w:gridCol w:w="657"/>
        <w:gridCol w:w="577"/>
        <w:gridCol w:w="580"/>
        <w:gridCol w:w="211"/>
        <w:gridCol w:w="826"/>
        <w:gridCol w:w="109"/>
        <w:gridCol w:w="109"/>
        <w:gridCol w:w="109"/>
        <w:gridCol w:w="109"/>
        <w:gridCol w:w="211"/>
        <w:gridCol w:w="826"/>
        <w:gridCol w:w="109"/>
        <w:gridCol w:w="109"/>
        <w:gridCol w:w="109"/>
        <w:gridCol w:w="109"/>
        <w:gridCol w:w="211"/>
        <w:gridCol w:w="82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852,525 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111,889 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852,525 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396,290 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115,794 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Where an arrangement includes multiple performance obligations, the transaction price is allocated to each performance obligation on a relative standalone selling price (“SSP”) basis. The Company determines the SSP based on an observable standalone selling price when it is available, as well as other factors, including the price charged to customers and the Company’s overall pricing objectives, while maximizing observable inputs.</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Accounts receivable are recorded when the customer has been billed or the right to consideration is unconditional. The Company records deferred revenue when it has received consideration, or an amount of consideration is due from the customer, and the Company has a future obligation to transfer products or services. The Company had immaterial and no deferred revenue as of </w:t>
      </w:r>
      <w:r>
        <w:rPr>
          <w:rFonts w:ascii="Times New Roman;serif" w:hAnsi="Times New Roman;serif"/>
          <w:b w:val="false"/>
          <w:color w:val="000000"/>
          <w:sz w:val="20"/>
        </w:rPr>
        <w:t>December 31, 2025 and 2024</w:t>
      </w:r>
      <w:r>
        <w:rPr>
          <w:rFonts w:ascii="Times New Roman;serif" w:hAnsi="Times New Roman;serif"/>
          <w:b w:val="false"/>
          <w:color w:val="231F20"/>
          <w:sz w:val="20"/>
        </w:rPr>
        <w:t xml:space="preserve">. From time to time, the Company has contracts with initial terms that include performance obligations that extend beyond one year. As of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there were no unsatisfied performance obligations for contracts with an original expected term greater than one year. </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Product Sales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transacts with customers primarily pursuant to standard purchase orders for delivery of products and does not allow customers to cancel or change purchase orders within limited notice periods. The Company recognizes product sales when control transfers to the customer, generally at the time of product shipment from its facilities or at the time when products are received by customers depending on the shipping terms with the customers, in an amount that reflects the consideration the Company expects to receive in exchange for those goods, net of estimated sales returns, distributor price adjustments (“DPA”), rebates, and other customer incentives.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sells its products to distributors at a fixed list price. Distributors are authorized to resell its products to their customers at a range of individually negotiated price points based on a variety of factors, including customer, product, quantity, geography, and competitive differentiation. The majority of the distributors’ resales are priced at a discount from list price (the original purchase price). After the resale transaction is completed, the Company issues credit memos to the distributor for the price adjustments.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Sales to most distributors are made under programs common in the semiconductor industry whereby distributors receive certain price adjustments, or DPA, to meet individual competitive opportunities. These programs may include credits granted to distributors or price protection credits when the Company’s standard published prices are lowered from the price the distributor paid for product still in its inventory.</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determining the transaction price, DPAs are considered variable consideration that reduce the amount of revenue recognized. The Company’s policy is to estimate such price adjustments based on the Company’s historical prices and contractual terms using the expected value method. To date, actual DPAs have been materially consistent with the provisions the Company has made, based on its historical estimates. However, because of the inherent nature of estimates, there is always a risk that there could be significant differences between actual amounts and the Company’s estimates. The Company also considers the constraint on estimates of variable consideration when estimating the total transaction price.</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customer programs involve rebates, which are designed to serve as sales incentives to resellers of the Company’s products in various target markets. The Company accounts for rebates as a reduction to revenue and accrues for estimated rebates based on the amount the Company expects to be claimed by customers.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Revenue is recognized net of taxes collected, which are subsequently remitted to governmental authorities. Shipping and handling fees are included in cost of revenue and are recognized as activities to fulfill the promise to transfer the good.</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Consideration payable includes cash amounts that the Company pays, or expects to pay, to a customer, and is included in accrued expenses and other current liabilities. Consideration payable also includes credits or other items.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accounts for consideration payable as a reduction of the transaction price, and therefore, of revenue, unless the payment to the customer is in exchange for a distinct good or service that the customer transfers to the Company.</w:t>
      </w:r>
    </w:p>
    <w:p>
      <w:pPr>
        <w:pStyle w:val="TextBody"/>
        <w:bidi w:val="0"/>
        <w:spacing w:lineRule="auto" w:line="288" w:before="240" w:after="283"/>
        <w:ind w:left="0" w:right="0" w:firstLine="450"/>
        <w:jc w:val="both"/>
        <w:rPr/>
      </w:pPr>
      <w:r>
        <w:rPr>
          <w:rFonts w:ascii="Times New Roman;serif" w:hAnsi="Times New Roman;serif"/>
          <w:b w:val="false"/>
          <w:color w:val="231F20"/>
          <w:sz w:val="20"/>
        </w:rPr>
        <w:t>The Company issued to a customer warrants to purchase shares of the Company’s common stock. The Company accounts for the warrants as consideration payable to a customer as the Company did not receive a distinct good or service in exchange for the warrants. The shares underlying the warrants vest upon the achievement of specified tranches of global payments by the customer and its affiliates. As it becomes probable that the performance-based vesting conditions underlying the warrants will be achieved and the related revenue is recognized, the Company recognizes the related grant date fair value of the warrants as a reduction of revenue for each sales transaction in proportion to total expected cumulative sales volume resulting in achievement of the vesting conditions. See Note 10 - Common Stock Warrants</w:t>
      </w:r>
      <w:r>
        <w:rPr>
          <w:rFonts w:ascii="Times New Roman;serif" w:hAnsi="Times New Roman;serif"/>
          <w:b w:val="false"/>
          <w:i/>
          <w:color w:val="231F20"/>
          <w:sz w:val="20"/>
        </w:rPr>
        <w:t>.</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applies the practical expedient to not disclose the value of unsatisfied performance obligations for contracts with an original expected length of one year or less. The Company also applies the practical expedient to expense sales commissions when incurred because the amortization period would have been one year or less.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Product Warranties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The Company’s products are generally subject to a product warranty, which provides for the estimated future costs of replacement upon shipment of the products. The products carry a standard one-year warranty. The warranty accrual is estimated primarily based on historical claims compared to historical revenue and assumes that the Company will have to replace products subject to a claim. Warranty expenses were not material for the years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 xml:space="preserve">2024 and </w:t>
      </w:r>
      <w:r>
        <w:rPr>
          <w:rFonts w:ascii="Times New Roman;serif" w:hAnsi="Times New Roman;serif"/>
          <w:b w:val="false"/>
          <w:color w:val="000000"/>
          <w:sz w:val="20"/>
        </w:rPr>
        <w:t>2023</w:t>
      </w:r>
      <w:r>
        <w:rPr>
          <w:rFonts w:ascii="Times New Roman;serif" w:hAnsi="Times New Roman;serif"/>
          <w:b w:val="false"/>
          <w:color w:val="231F20"/>
          <w:sz w:val="20"/>
        </w:rPr>
        <w:t xml:space="preserve">. Accrued warranty was not material as of </w:t>
      </w:r>
      <w:r>
        <w:rPr>
          <w:rFonts w:ascii="Times New Roman;serif" w:hAnsi="Times New Roman;serif"/>
          <w:b w:val="false"/>
          <w:color w:val="000000"/>
          <w:sz w:val="20"/>
        </w:rPr>
        <w:t xml:space="preserve">December 31, 2025, and </w:t>
      </w:r>
      <w:r>
        <w:rPr>
          <w:rFonts w:ascii="Times New Roman;serif" w:hAnsi="Times New Roman;serif"/>
          <w:b w:val="false"/>
          <w:color w:val="231F20"/>
          <w:sz w:val="20"/>
        </w:rPr>
        <w:t>2024.</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does not allow its distributors to return overstocked, obsolete, and discontinued products.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Cost of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Cost of revenue includes both cost of product sales and cost of engineering services. Cost of product sales includes the cost of materials, such as wafers processed by third-party foundries, costs associated with packaging, assembly, shipping, depreciation of equipment associated with manufacturing, warranty cost, amortization of capitalized production equipment, costs of logistics and quality assurance, write-downs for excess and obsolete inventory, royalties on our production products, allocation of general corporate expenses, and personnel costs including salaries, stock-based compensation expense, bonuses, and employee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Research and Development Expenses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Research and development expenses consist of costs incurred in performing research and development activities and include salaries, stock-based compensation expense, employee benefits, bonuses, pre-production engineering mask costs, software license and cloud hosting services costs, overhead costs and prototype costs, packaging and test costs, professional services fees, and allocated facilities expenses. Research and development costs are expensed as incurred.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Sales and Marketing Expenses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Sales and marketing expenses consist of personnel costs including salaries, stock-based compensation expense, employee bonus and benefits, samples to potential customers, product marketing and conferences, travel and entertainment costs, and allocation of general corporate expenses including allocated facilities expenses. Advertising costs are expensed as incurred and were not material for the years ended December 31, 2025, 2024 and 2023.</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General and administrative expenses consist primarily of personnel costs including salaries, stock-based compensation, and employee benefits related to corporate, finance, legal and human resource functions, contractor and professional services fees, audit and compliance expenses, insurance costs, and general corporate expenses including allocated facilities expenses.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Stock-Based Compensation</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The Company records stock-based compensation expense for all stock-based awards, including stock options, </w:t>
      </w:r>
      <w:r>
        <w:rPr>
          <w:rFonts w:ascii="Times New Roman;serif" w:hAnsi="Times New Roman;serif"/>
          <w:b w:val="false"/>
          <w:color w:val="000000"/>
          <w:sz w:val="20"/>
        </w:rPr>
        <w:t>restricted stock units (“RSUs”)</w:t>
      </w:r>
      <w:r>
        <w:rPr>
          <w:rFonts w:ascii="Times New Roman;serif" w:hAnsi="Times New Roman;serif"/>
          <w:b w:val="false"/>
          <w:color w:val="231F20"/>
          <w:sz w:val="20"/>
        </w:rPr>
        <w:t xml:space="preserve">, performance stock units (“PSUs”), and purchase rights issued under the </w:t>
      </w:r>
      <w:r>
        <w:rPr>
          <w:rFonts w:ascii="Times New Roman;serif" w:hAnsi="Times New Roman;serif"/>
          <w:b w:val="false"/>
          <w:color w:val="000000"/>
          <w:sz w:val="20"/>
        </w:rPr>
        <w:t>Employee Stock Purchase Plan (“</w:t>
      </w:r>
      <w:r>
        <w:rPr>
          <w:rFonts w:ascii="Times New Roman;serif" w:hAnsi="Times New Roman;serif"/>
          <w:b w:val="false"/>
          <w:color w:val="231F20"/>
          <w:sz w:val="20"/>
        </w:rPr>
        <w:t xml:space="preserve">ESPP”), made to employees, non-employees, and directors based on the fair value at the date of grant.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RSUs and PSUs is based on the underlying common stock at the date of grant. The fair value of stock options granted and purchase rights issued under the ESPP for purposes of calculating stock-based compensation expense is estimated on the grant date using the Black-Scholes-Merton pricing model.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 Black-Scholes-Merton pricing model requires the Company to make assumptions and judgments about the inputs used in the calculation, including the expected term, the volatility of the Company’s common stock, risk-free interest rate, and expected dividend yield. The expected term represents the period that the Company’s stock options and purchase rights under the ESPP are expected to be outstanding. The expected term assumptions are determined based on the vesting terms, exercise terms, and contractual lives of the options and ESPP. For options, the Company estimates the expected volatility by taking the average historical volatility of a group of comparable publicly traded companies over a period equal to the expected term of the awards, as the Company does not have sufficient trading history of its common stock. For ESPP, the expected volatility is based on a blended simple average between historical volatility of a group of comparable publicly traded companies and our common stock price over a period equal to the expected term of the awards. The risk-free rate is based on the U.S. Treasury yield curve in effect at the time of grant for periods corresponding with the expected life of the options and ESPP. The Company’s expected dividend yield input is zero as it has not historically paid, nor does it expect in the future to pay, cash dividends on its common stock.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Stock-based compensation expense for options, service-based RSUs, and purchase rights issued under the ESPP Plan are recognized as expense on a straight-line basis over the requisite service or offering period. Stock-based compensation expense with performance condition is recognized in the period in which vesting becomes probable using the accelerated attribution method over the requisite service period for each separately vesting portion of the award. The Company accounts for forfeitures as they occur. </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Cash and Cash Equivalents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classifies all highly liquid instruments purchased, such as sweep accounts, checking accounts, U.S. treasury securities, money market funds, and commercial paper with an original maturity of three months or less at the date of purchase, to be cash and cash equivalents. Cash equivalents are carried at cost, which approximates their fair value.</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Marketable Securities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Marketable securities consist of instruments with an original maturity of more than three months, primarily including U.S. treasury and agency securities, corporate debt securities, and commercial paper. The Company’s investments are all highly liquid and available for use in current operations, including those with maturity dates beyond one year, and therefore the Company classifies these securities within current assets on its consolidated balance sheet.</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 Company classifies and accounts for its marketable securities as available-for-sale, and it carries such securities at fair value with unrealized gains and losses excluded from earnings and reported net of tax as a separate component of stockholders’ equity in accumulated other comprehensive income until the security is sold or matures. During the years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 xml:space="preserve">2024, and </w:t>
      </w:r>
      <w:r>
        <w:rPr>
          <w:rFonts w:ascii="Times New Roman;serif" w:hAnsi="Times New Roman;serif"/>
          <w:b w:val="false"/>
          <w:color w:val="000000"/>
          <w:sz w:val="20"/>
        </w:rPr>
        <w:t xml:space="preserve">2023, </w:t>
      </w:r>
      <w:r>
        <w:rPr>
          <w:rFonts w:ascii="Times New Roman;serif" w:hAnsi="Times New Roman;serif"/>
          <w:b w:val="false"/>
          <w:color w:val="231F20"/>
          <w:sz w:val="20"/>
        </w:rPr>
        <w:t xml:space="preserve">in connection with its available-for-sale securities, the Company recorded pretax unrealized gains of $3.9 million, $0.2 million, and </w:t>
      </w:r>
      <w:r>
        <w:rPr>
          <w:rFonts w:ascii="Times New Roman;serif" w:hAnsi="Times New Roman;serif"/>
          <w:b w:val="false"/>
          <w:color w:val="000000"/>
          <w:sz w:val="20"/>
        </w:rPr>
        <w:t>$0.5 million,</w:t>
      </w:r>
      <w:r>
        <w:rPr>
          <w:color w:val="231F20"/>
        </w:rPr>
        <w:t xml:space="preserve"> </w:t>
      </w:r>
      <w:r>
        <w:rPr>
          <w:rFonts w:ascii="Times New Roman;serif" w:hAnsi="Times New Roman;serif"/>
          <w:b w:val="false"/>
          <w:color w:val="231F20"/>
          <w:sz w:val="20"/>
        </w:rPr>
        <w:t xml:space="preserve">respectively, with no associated tax benefit in other comprehensive income or loss. </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If an available-for-sale debt security’s fair value declines below its amortized cost basis, the Company evaluates whether it intends to sell the security, or whether it more-likely-than-not will be required to sell the security before the recovery of its amortized cost basis. If either condition is met, the Company records an impairment loss on the security. If neither condition is met, the Company evaluates whether the decline is the result of credit-related factors, in which case the Company records the credit-related portion of the impairment loss. There were no impairment charges for the years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 xml:space="preserve">2024, and </w:t>
      </w:r>
      <w:r>
        <w:rPr>
          <w:rFonts w:ascii="Times New Roman;serif" w:hAnsi="Times New Roman;serif"/>
          <w:b w:val="false"/>
          <w:color w:val="000000"/>
          <w:sz w:val="20"/>
        </w:rPr>
        <w:t>2023.</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Accounts Receivable, Net</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Accounts receivable are recorded at the invoiced amount, net of DPAs, and allowance for credit losses. The Company performs periodic credit evaluations of its customers’ financial condition and does not require collateral from them. Amounts considered uncollectible are charged against the allowance account in the period they are deemed uncollectible. As of </w:t>
      </w:r>
      <w:r>
        <w:rPr>
          <w:rFonts w:ascii="Times New Roman;serif" w:hAnsi="Times New Roman;serif"/>
          <w:b w:val="false"/>
          <w:color w:val="000000"/>
          <w:sz w:val="20"/>
        </w:rPr>
        <w:t xml:space="preserve">December 31, 2025 and </w:t>
      </w:r>
      <w:r>
        <w:rPr>
          <w:rFonts w:ascii="Times New Roman;serif" w:hAnsi="Times New Roman;serif"/>
          <w:b w:val="false"/>
          <w:color w:val="231F20"/>
          <w:sz w:val="20"/>
        </w:rPr>
        <w:t>2024,</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231F20"/>
          <w:sz w:val="20"/>
        </w:rPr>
        <w:t xml:space="preserve">he allowance for credit losses was not material to the consolidated financial statements. There was no impairment charges for the years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 xml:space="preserve">2024, and </w:t>
      </w:r>
      <w:r>
        <w:rPr>
          <w:rFonts w:ascii="Times New Roman;serif" w:hAnsi="Times New Roman;serif"/>
          <w:b w:val="false"/>
          <w:color w:val="000000"/>
          <w:sz w:val="20"/>
        </w:rPr>
        <w:t>2023</w:t>
      </w:r>
      <w:r>
        <w:rPr>
          <w:rFonts w:ascii="Times New Roman;serif" w:hAnsi="Times New Roman;serif"/>
          <w:b w:val="false"/>
          <w:color w:val="231F20"/>
          <w:sz w:val="20"/>
        </w:rPr>
        <w:t>.</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regularly monitors collections and payments from customers and maintains an allowance for credit losses for estimated losses resulting from the inability of customers to make required payments. Management estimates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allowance for credit losses by considering factors including historical credit loss experience and current conditions, such as the length of time accounts receivable are past due, customer payment histories, any specific customer collection issues identified, current market conditions, which may affect customer financial condition, and reasonable and supportable forecasts of future credit losses. The Company writes off accounts receivable that have become uncollectible.</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Inventory</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 Company’s inventory, which includes raw materials, work-in-progress, and finished goods, is stated at the lower of cost or net realizable value. Inventory cost, which includes materials purchase cost, inbound freight and capitalized overhead, is computed using standard cost, which approximates actual cost, on a first-in, first-out basis. Net realizable value is the estimated selling price of the Company’s products in the ordinary course of business, less reasonably </w:t>
      </w:r>
      <w:r>
        <w:rPr>
          <w:rFonts w:ascii="Times New Roman;serif" w:hAnsi="Times New Roman;serif"/>
          <w:b w:val="false"/>
          <w:color w:val="000000"/>
          <w:sz w:val="20"/>
        </w:rPr>
        <w:t>predictable costs of completion, disposal, and transportation. The carrying value of inventory is reduced for estimated excess and obsolete inventory. Excess and obsolete inventory reductions are determined based on assumptions about product expiration, future demand, and market conditions, and are included in cost of revenue in the consolidated statements of operations and comprehensive income (loss).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Prepaid Expenses and Other Current Assets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included prepayments for technology subscription service, cloud computing arrangements, insurance premiums, restricted cash, and accrued interest income. As of December 31, 2025 and 2024, the Company’s restricted cash balance was not material and is primarily associated with collateral for the Company’s credit card.</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 xml:space="preserve">Property and Equipment, Net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net of accumulated depreciation. Depreciation expense is recorded on a straight-line basis over the estimated useful lives of the assets. The estimated useful lives of the Company’s property and equipment are as follows:</w:t>
      </w:r>
    </w:p>
    <w:tbl>
      <w:tblPr>
        <w:tblW w:w="6255" w:type="dxa"/>
        <w:jc w:val="left"/>
        <w:tblInd w:w="0" w:type="dxa"/>
        <w:tblLayout w:type="fixed"/>
        <w:tblCellMar>
          <w:top w:w="28" w:type="dxa"/>
          <w:left w:w="28" w:type="dxa"/>
          <w:bottom w:w="28" w:type="dxa"/>
          <w:right w:w="28" w:type="dxa"/>
        </w:tblCellMar>
      </w:tblPr>
      <w:tblGrid>
        <w:gridCol w:w="783"/>
        <w:gridCol w:w="687"/>
        <w:gridCol w:w="690"/>
        <w:gridCol w:w="1199"/>
        <w:gridCol w:w="1199"/>
        <w:gridCol w:w="1697"/>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Asset Category</w:t>
            </w:r>
          </w:p>
        </w:tc>
        <w:tc>
          <w:tcPr>
            <w:tcW w:w="4095"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Production equipment</w:t>
            </w:r>
          </w:p>
        </w:tc>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w:t>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Servers and workstations</w:t>
            </w:r>
          </w:p>
        </w:tc>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Lesser of asset useful life or remaining lease term</w:t>
            </w:r>
          </w:p>
        </w:tc>
      </w:tr>
    </w:tbl>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Business Combination</w:t>
      </w:r>
    </w:p>
    <w:p>
      <w:pPr>
        <w:pStyle w:val="TextBody"/>
        <w:bidi w:val="0"/>
        <w:spacing w:lineRule="auto" w:line="268" w:before="240" w:after="283"/>
        <w:ind w:left="0" w:right="0" w:firstLine="450"/>
        <w:jc w:val="both"/>
        <w:rPr/>
      </w:pPr>
      <w:r>
        <w:rPr>
          <w:rFonts w:ascii="Times New Roman;serif" w:hAnsi="Times New Roman;serif"/>
          <w:b w:val="false"/>
          <w:color w:val="231F20"/>
          <w:sz w:val="20"/>
        </w:rPr>
        <w:t xml:space="preserve">The Company accounts for business combinations using the acquisition method in accordance with ASC 805, </w:t>
      </w:r>
      <w:r>
        <w:rPr>
          <w:rFonts w:ascii="Times New Roman;serif" w:hAnsi="Times New Roman;serif"/>
          <w:b w:val="false"/>
          <w:i/>
          <w:color w:val="231F20"/>
          <w:sz w:val="20"/>
        </w:rPr>
        <w:t>Business Combinations</w:t>
      </w:r>
      <w:r>
        <w:rPr>
          <w:rFonts w:ascii="Times New Roman;serif" w:hAnsi="Times New Roman;serif"/>
          <w:b w:val="false"/>
          <w:color w:val="231F20"/>
          <w:sz w:val="20"/>
        </w:rPr>
        <w:t xml:space="preserve">. The Company allocates the fair value of the purchase consideration of a business acquisition to the tangible and intangible assets acquired, including in-process research and development (“IPR&amp;D”), and liabilities assumed based on their estimated fair values. The excess of the fair value of purchase consideration over the fair values of these identifiable assets and liabilities is recorded as goodwill. IPR&amp;D is initially capitalized at fair value of an intangible asset with an indefinite life and assessed for impairment thereafter. When an IPR&amp;D project is completed, the IPR&amp;D is reclassified as an amortizable purchased intangible asset and amortized over the asset’s estimated useful life. </w:t>
      </w:r>
    </w:p>
    <w:p>
      <w:pPr>
        <w:pStyle w:val="TextBody"/>
        <w:bidi w:val="0"/>
        <w:spacing w:lineRule="auto" w:line="26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valuation of acquired assets and assumed liabilities requires significant estimates, especially with respect to intangible assets. The valuation of intangible assets, in particular, requires the use of valuation techniques such as the income approach. The income approach includes the use of a discounted cash flow model, which includes discounted cash flow scenarios and requires the following significant assumptions: future expected revenue, expected average selling unit price, obsolescence curve and technology life, and discount rates. The Company estimates the fair value based upon assumptions believed to be reasonable, but which are inherently uncertain and unpredictable and, as a result, actual results may differ from estimates. Estimates associated with the accounting for acquisitions may change as additional information becomes available regarding the assets acquired and liabilities assumed.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results of operations of an acquired business are included in the Company’s consolidated financial statements from the date of acquisition. Acquisition-related costs are expensed as incurred and are included in general and administrative expenses on the consolidated statements of operations.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Impairment of Goodwill, Intangible Assets, and Other Long-lived Assets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Goodwill is evaluated for impairment on an annual basis in the fourth quarter of the year, and whenever events or changes in circumstances indicate that the carrying amount of goodwill may not be recoverable. The Company has elected to first assess qualitative factors to determine whether it is more likely than not that the fair value of its single reporting unit is less than its carrying amount, including goodwill. If it is determined that it is more likely than not that the fair value is less than its carrying amount, the quantitative impairment test will then be performed. Under the quantitative impairment test, if the carrying amount exceeds its fair value, the Company will recognize an impairment loss in an amount equal to that excess but limited to the total amount of goodwill. Goodwill is included in other assets on the consolidated balance sheets.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assesses the impairment of intangible assets and other long-lived assets, which consist primarily of property and equipment, whenever events or changes in circumstances indicate that such assets might be impaired and the carrying value may not be recoverable.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If events or changes in circumstances indicate that the carrying amount of an asset may not be recoverable and the expected undiscounted future cash flows attributable to the asset are less than the carrying amount of the asset, an impairment loss equal to the excess of the asset’s carrying value over its fair value is recorded. Fair value is generally determined based on the present value of estimated expected future cash flows using a discount rate commensurate with the risk involved, quoted market prices or appraised values, depending on the nature of the asset. </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There were no impairments charges of goodwill, intangible assets, and other long-lived assets for the years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2024, and 2023.</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Leases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Company determines at contract inception whether an arrangement is a lease based on its ability to control a physically distinct asset and determines the classification of the lease as either operating or finance. For all leases, the Company combines all components of the lease including related non-lease components as a single component. The Company’s operating lease right-of-use (“ROU”) assets represent the Company’s right to use an underlying asset for the lease term and lease liabilities represent the Company’s obligation to make lease payments related to the lease. The Company has also elected to utilize the short-term lease recognition exemption and, for those leases that qualify, the Company has not recognized operating lease ROU assets or operating lease liabilities. The Company does not have any finance leases as of December 31, 2025 and </w:t>
      </w:r>
      <w:r>
        <w:rPr>
          <w:rFonts w:ascii="Times New Roman;serif" w:hAnsi="Times New Roman;serif"/>
          <w:b w:val="false"/>
          <w:color w:val="231F20"/>
          <w:sz w:val="20"/>
        </w:rPr>
        <w:t>2024</w:t>
      </w:r>
      <w:r>
        <w:rPr>
          <w:rFonts w:ascii="Times New Roman;serif" w:hAnsi="Times New Roman;serif"/>
          <w:b w:val="false"/>
          <w:color w:val="000000"/>
          <w:sz w:val="20"/>
        </w:rPr>
        <w:t>. Operating lease ROU assets and liabilities are recognized at the commencement date based on the present value of lease payments over the lease term. Operating lease ROU assets also include any initial direct costs and prepayments less lease incentives. As the Company’s leases do not provide an implicit rate, the Company uses its collateralized incremental borrowing rate based on the information available at the lease commencement date, including lease term, in determining the present value of lease payments.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Lease terms may include options to extend or terminate the lease when the Company is reasonably certain that it will exercise the option. Lease expense is recognized on a straight-line basis over the lease term in the consolidated statements of operations and comprehensive income (loss). Certain lease agreements may contain variable costs such as utilities and common area maintenance. Variable lease costs are expensed when the cost is incurred.</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Income Taxes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taxes in the United States and certain foreign jurisdictions. Significant judgment is required in determining the Company’s provision for income taxes and income tax assets and liabilities, including evaluating uncertainties in the application of accounting principles and complex tax laws.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asset and liability method to account for income taxes. Current income tax expense or benefit represents the amount of income taxes expected to be payable or refundable for the current year. Under this method, deferred income tax assets and liabilities are determined based on differences between the financial statement reporting and tax bases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of assets and liabilities and net operating loss and credit carryforwards.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The Company accounts for uncertain tax positions in accordance with ASC 740-10, </w:t>
      </w:r>
      <w:r>
        <w:rPr>
          <w:rFonts w:ascii="Times New Roman;serif" w:hAnsi="Times New Roman;serif"/>
          <w:b w:val="false"/>
          <w:i/>
          <w:color w:val="000000"/>
          <w:sz w:val="20"/>
        </w:rPr>
        <w:t>Accounting for Uncertainty in Income Taxes</w:t>
      </w:r>
      <w:r>
        <w:rPr>
          <w:rFonts w:ascii="Times New Roman;serif" w:hAnsi="Times New Roman;serif"/>
          <w:b w:val="false"/>
          <w:color w:val="000000"/>
          <w:sz w:val="20"/>
        </w:rPr>
        <w:t>. The Company recognizes the tax effects of an uncertain tax position only if such position is more-likely-than-not to be sustained based solely on its technical merits as of the reporting date and only in an amount more-likely-than-not to be sustained upon review by the tax authorities. The Company recognizes interest and penalties related to uncertain tax positions in income tax expense.</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Net Income (Loss) per Share</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follows the two-class method when computing net income (loss) per common share when shares are issued that meet the definition of participating securities. The two-class method determines net income (loss) per share of common stock and participating securities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receive dividends as if all income (loss) for the period had been distributed. Prior to the automatic conversion into shares of common stock as a result of the Company’s IPO, the Company’s redeemable convertible preferred stock contractually entitled the holders of such shares to participate in dividends, but did not contractually require the holders of such shares to participate in the Company’s losses. Subsequent to the IPO, the Company has no participating securities.</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Basic net income (loss) per share is computed by dividing the net income (loss) attributable to common stockholders by the weighted-average number of shares of common stock outstanding during the period, less shares subject to repurchase. The diluted net income per share is computed by giving effect to all potentially dilutive securities outstanding for the period using the treasury stock method or the if-converted method. For periods in which the Company reports net losses, diluted net loss per common share is the same as basic net loss per common share, because all potentially dilutive securities are anti-dilutive.</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Commitments and Contingencies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Liabilities for loss contingencies arising from claims, assessments, litigation, fines, and penalties and other sources are recorded when it is probable that a liability has been incurred and the amount of loss can be reasonably estimated.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incurred in connection with loss contingencies are expensed as incurred.</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Foreign Currency Transactions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functional currency of the Company’s foreign subsidiaries is the U.S. dollar. All foreign currency transactions are initially measured and recorded in U.S. dollars using the exchange rate on the date of the transaction. Foreign currency denominated monetary assets and liabilities are remeasured and recorded at the end of each reporting period using the exchange rate at that date. Foreign exchange gains and losses were not material for the years ended December 31, 2025, </w:t>
      </w:r>
      <w:r>
        <w:rPr>
          <w:rFonts w:ascii="Times New Roman;serif" w:hAnsi="Times New Roman;serif"/>
          <w:b w:val="false"/>
          <w:color w:val="231F20"/>
          <w:sz w:val="20"/>
        </w:rPr>
        <w:t>2024, and 2023.</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Fair Value Measurements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120" w:after="283"/>
        <w:ind w:left="0" w:right="0" w:firstLine="450"/>
        <w:jc w:val="both"/>
        <w:rPr/>
      </w:pPr>
      <w:r>
        <w:rPr/>
      </w:r>
    </w:p>
    <w:p>
      <w:pPr>
        <w:pStyle w:val="TextBody"/>
        <w:bidi w:val="0"/>
        <w:spacing w:lineRule="auto" w:line="276" w:before="0" w:after="0"/>
        <w:jc w:val="left"/>
        <w:rPr/>
      </w:pPr>
      <w:r>
        <w:rPr>
          <w:rFonts w:ascii="Times New Roman;serif" w:hAnsi="Times New Roman;serif"/>
          <w:b w:val="false"/>
          <w:i/>
          <w:color w:val="231F20"/>
          <w:sz w:val="20"/>
        </w:rPr>
        <w:t xml:space="preserve">Level 1. </w:t>
      </w:r>
      <w:r>
        <w:rPr>
          <w:rFonts w:ascii="Times New Roman;serif" w:hAnsi="Times New Roman;serif"/>
          <w:b w:val="false"/>
          <w:color w:val="231F20"/>
          <w:sz w:val="20"/>
        </w:rPr>
        <w:t>Inputs are quoted prices (unadjusted) in active markets for identical assets or liabilities that the reporting entity has the ability to access at the measurement date.</w:t>
      </w:r>
    </w:p>
    <w:p>
      <w:pPr>
        <w:pStyle w:val="TextBody"/>
        <w:bidi w:val="0"/>
        <w:spacing w:lineRule="auto" w:line="288" w:before="120" w:after="283"/>
        <w:jc w:val="both"/>
        <w:rPr/>
      </w:pPr>
      <w:r>
        <w:rPr>
          <w:rFonts w:ascii="Times New Roman;serif" w:hAnsi="Times New Roman;serif"/>
          <w:b w:val="false"/>
          <w:i/>
          <w:color w:val="231F20"/>
          <w:sz w:val="20"/>
        </w:rPr>
        <w:t xml:space="preserve">Level 2. </w:t>
      </w:r>
      <w:r>
        <w:rPr>
          <w:rFonts w:ascii="Times New Roman;serif" w:hAnsi="Times New Roman;serif"/>
          <w:b w:val="false"/>
          <w:color w:val="231F20"/>
          <w:sz w:val="20"/>
        </w:rPr>
        <w:t>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231F20"/>
          <w:sz w:val="20"/>
        </w:rPr>
        <w:t xml:space="preserve">Level 3. </w:t>
      </w:r>
      <w:r>
        <w:rPr>
          <w:rFonts w:ascii="Times New Roman;serif" w:hAnsi="Times New Roman;serif"/>
          <w:b w:val="false"/>
          <w:color w:val="231F20"/>
          <w:sz w:val="20"/>
        </w:rPr>
        <w:t>Inputs are unobservable and reflect the Company’s assumptions, consistent with reasonably available information, about the assumptions that market participants would use in pricing the asset or liability. These inputs are used when observable inputs are not available and require significant judgment.</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fair value hierarchy also requires an entity to maximize the use of observable inputs and minimizes the use of unobservable inputs when measuring fair value.</w:t>
      </w:r>
    </w:p>
    <w:p>
      <w:pPr>
        <w:pStyle w:val="TextBody"/>
        <w:bidi w:val="0"/>
        <w:spacing w:lineRule="auto" w:line="288" w:before="240" w:after="283"/>
        <w:ind w:left="0" w:right="0" w:firstLine="450"/>
        <w:jc w:val="both"/>
        <w:rPr>
          <w:rFonts w:ascii="Times New Roman;serif" w:hAnsi="Times New Roman;serif"/>
          <w:b/>
          <w:color w:val="231F20"/>
          <w:sz w:val="20"/>
        </w:rPr>
      </w:pPr>
      <w:r>
        <w:rPr>
          <w:rFonts w:ascii="Times New Roman;serif" w:hAnsi="Times New Roman;serif"/>
          <w:b/>
          <w:color w:val="231F20"/>
          <w:sz w:val="20"/>
        </w:rPr>
        <w:t>Concentrations of Credit Risk and Major Customers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Revenue by location is determined by the billing address of the Company’s customers, which include distributors who purchase the Company’s products and resell them.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customers that individually comprised 10% or more of its revenue:</w:t>
      </w:r>
    </w:p>
    <w:tbl>
      <w:tblPr>
        <w:tblW w:w="3719" w:type="dxa"/>
        <w:jc w:val="left"/>
        <w:tblInd w:w="0" w:type="dxa"/>
        <w:tblLayout w:type="fixed"/>
        <w:tblCellMar>
          <w:top w:w="28" w:type="dxa"/>
          <w:left w:w="28" w:type="dxa"/>
          <w:bottom w:w="28" w:type="dxa"/>
          <w:right w:w="28" w:type="dxa"/>
        </w:tblCellMar>
      </w:tblPr>
      <w:tblGrid>
        <w:gridCol w:w="407"/>
        <w:gridCol w:w="358"/>
        <w:gridCol w:w="359"/>
        <w:gridCol w:w="180"/>
        <w:gridCol w:w="181"/>
        <w:gridCol w:w="271"/>
        <w:gridCol w:w="109"/>
        <w:gridCol w:w="109"/>
        <w:gridCol w:w="109"/>
        <w:gridCol w:w="180"/>
        <w:gridCol w:w="181"/>
        <w:gridCol w:w="271"/>
        <w:gridCol w:w="109"/>
        <w:gridCol w:w="109"/>
        <w:gridCol w:w="109"/>
        <w:gridCol w:w="180"/>
        <w:gridCol w:w="181"/>
        <w:gridCol w:w="316"/>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B </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C </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D </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E </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F</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G</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*Less than 10% of total revenue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customers that individually comprised 10% or more of its accounts receivable, net:</w:t>
      </w:r>
    </w:p>
    <w:tbl>
      <w:tblPr>
        <w:tblW w:w="4496" w:type="dxa"/>
        <w:jc w:val="left"/>
        <w:tblInd w:w="0" w:type="dxa"/>
        <w:tblLayout w:type="fixed"/>
        <w:tblCellMar>
          <w:top w:w="28" w:type="dxa"/>
          <w:left w:w="28" w:type="dxa"/>
          <w:bottom w:w="28" w:type="dxa"/>
          <w:right w:w="28" w:type="dxa"/>
        </w:tblCellMar>
      </w:tblPr>
      <w:tblGrid>
        <w:gridCol w:w="407"/>
        <w:gridCol w:w="358"/>
        <w:gridCol w:w="359"/>
        <w:gridCol w:w="334"/>
        <w:gridCol w:w="334"/>
        <w:gridCol w:w="832"/>
        <w:gridCol w:w="109"/>
        <w:gridCol w:w="109"/>
        <w:gridCol w:w="109"/>
        <w:gridCol w:w="314"/>
        <w:gridCol w:w="314"/>
        <w:gridCol w:w="917"/>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B </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D </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E </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F </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*Less than 10% of total accounts receivable, net </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Concentration of Supply Risk</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relies on a single manufacturing partner for integrated circuits. The Company also relies on a limited number of other manufacturing partners for its modules, boards, and integrated circuit substrates. While alternative providers could be identified, the Company is subject to supply and pricing risks.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Accounting Pronouncements Recently Adopted</w:t>
      </w:r>
    </w:p>
    <w:p>
      <w:pPr>
        <w:pStyle w:val="TextBody"/>
        <w:bidi w:val="0"/>
        <w:spacing w:lineRule="auto" w:line="288" w:before="120" w:after="240"/>
        <w:ind w:left="0" w:right="0" w:firstLine="450"/>
        <w:jc w:val="both"/>
        <w:rPr/>
      </w:pPr>
      <w:r>
        <w:rPr>
          <w:rFonts w:ascii="Times New Roman;serif" w:hAnsi="Times New Roman;serif"/>
          <w:b w:val="false"/>
          <w:color w:val="231F20"/>
          <w:sz w:val="20"/>
        </w:rPr>
        <w:t xml:space="preserve">In December 2023, the Financial Accounting Standards Board </w:t>
      </w:r>
      <w:r>
        <w:rPr>
          <w:rFonts w:ascii="Times New Roman;serif" w:hAnsi="Times New Roman;serif"/>
          <w:b w:val="false"/>
          <w:color w:val="000000"/>
          <w:sz w:val="20"/>
        </w:rPr>
        <w:t xml:space="preserve">(“FASB”) </w:t>
      </w:r>
      <w:r>
        <w:rPr>
          <w:rFonts w:ascii="Times New Roman;serif" w:hAnsi="Times New Roman;serif"/>
          <w:b w:val="false"/>
          <w:color w:val="231F20"/>
          <w:sz w:val="20"/>
        </w:rPr>
        <w:t>issued Accounting Standards Update, 2023-09,</w:t>
      </w:r>
      <w:r>
        <w:rPr>
          <w:color w:val="231F20"/>
        </w:rPr>
        <w:t xml:space="preserve"> </w:t>
      </w:r>
      <w:r>
        <w:rPr>
          <w:rFonts w:ascii="Times New Roman;serif" w:hAnsi="Times New Roman;serif"/>
          <w:b w:val="false"/>
          <w:i/>
          <w:color w:val="231F20"/>
          <w:sz w:val="20"/>
        </w:rPr>
        <w:t>Income Taxes</w:t>
      </w:r>
      <w:r>
        <w:rPr>
          <w:color w:val="231F20"/>
        </w:rPr>
        <w:t xml:space="preserve"> </w:t>
      </w:r>
      <w:r>
        <w:rPr>
          <w:rFonts w:ascii="Times New Roman;serif" w:hAnsi="Times New Roman;serif"/>
          <w:b w:val="false"/>
          <w:i/>
          <w:color w:val="231F20"/>
          <w:sz w:val="20"/>
        </w:rPr>
        <w:t>(Topic 740): Improvements to Income Tax Disclosures</w:t>
      </w:r>
      <w:r>
        <w:rPr>
          <w:color w:val="231F20"/>
        </w:rPr>
        <w:t xml:space="preserve"> </w:t>
      </w:r>
      <w:r>
        <w:rPr>
          <w:rFonts w:ascii="Times New Roman;serif" w:hAnsi="Times New Roman;serif"/>
          <w:b w:val="false"/>
          <w:color w:val="231F20"/>
          <w:sz w:val="20"/>
        </w:rPr>
        <w:t xml:space="preserve">(“ASU 2023-09”). ASU 2023-09 requires disaggregated information about a reporting entity’s effective tax rate reconciliation as well as information on income taxes paid. </w:t>
      </w:r>
      <w:r>
        <w:rPr>
          <w:rFonts w:ascii="Times New Roman;serif" w:hAnsi="Times New Roman;serif"/>
          <w:b w:val="false"/>
          <w:color w:val="000000"/>
          <w:sz w:val="20"/>
        </w:rPr>
        <w:t>The Company adopted ASU 2023-09 in the fourth quarter of 2025 and applied the amendments retrospectively to all prior periods presented in the consolidated financial statements (see Note 13 - Income Taxes).</w:t>
      </w:r>
      <w:r>
        <w:rPr>
          <w:color w:val="231F20"/>
        </w:rPr>
        <w:t xml:space="preserve"> </w:t>
      </w:r>
      <w:r>
        <w:rPr>
          <w:rFonts w:ascii="Times New Roman;serif" w:hAnsi="Times New Roman;serif"/>
          <w:b w:val="false"/>
          <w:color w:val="000000"/>
          <w:sz w:val="20"/>
        </w:rPr>
        <w:t xml:space="preserve">The adoption of ASU 2023-09 did not have a material impact on the Company's consolidated financial statements. </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 xml:space="preserve">Recently Issued Accounting Pronouncements Not Yet Adopted </w:t>
      </w:r>
    </w:p>
    <w:p>
      <w:pPr>
        <w:pStyle w:val="TextBody"/>
        <w:bidi w:val="0"/>
        <w:spacing w:lineRule="auto" w:line="288" w:before="120" w:after="240"/>
        <w:ind w:left="0" w:right="0" w:firstLine="450"/>
        <w:jc w:val="both"/>
        <w:rPr/>
      </w:pPr>
      <w:r>
        <w:rPr>
          <w:rFonts w:ascii="Times New Roman;serif" w:hAnsi="Times New Roman;serif"/>
          <w:b w:val="false"/>
          <w:color w:val="000000"/>
          <w:sz w:val="20"/>
        </w:rPr>
        <w:t>In November 2024, the FASB issued Accounting Standards Update No. 2024-03,</w:t>
      </w:r>
      <w:r>
        <w:rPr>
          <w:color w:val="000000"/>
        </w:rPr>
        <w:t xml:space="preserve"> </w:t>
      </w:r>
      <w:r>
        <w:rPr>
          <w:rFonts w:ascii="Times New Roman;serif" w:hAnsi="Times New Roman;serif"/>
          <w:b w:val="false"/>
          <w:i/>
          <w:color w:val="000000"/>
          <w:sz w:val="20"/>
        </w:rPr>
        <w:t>Income Statement-Reporting Comprehensive Income-Expense Disaggregation Disclosure</w:t>
      </w:r>
      <w:r>
        <w:rPr>
          <w:color w:val="000000"/>
        </w:rPr>
        <w:t xml:space="preserve"> </w:t>
      </w:r>
      <w:r>
        <w:rPr>
          <w:rFonts w:ascii="Times New Roman;serif" w:hAnsi="Times New Roman;serif"/>
          <w:b w:val="false"/>
          <w:color w:val="000000"/>
          <w:sz w:val="20"/>
        </w:rPr>
        <w:t xml:space="preserve">(“ASU 2024-03”), and in January 2025, the FASB issued Accounting Standard Update No. 2025-01, </w:t>
      </w:r>
      <w:r>
        <w:rPr>
          <w:rFonts w:ascii="Times New Roman;serif" w:hAnsi="Times New Roman;serif"/>
          <w:b w:val="false"/>
          <w:i/>
          <w:color w:val="000000"/>
          <w:sz w:val="20"/>
        </w:rPr>
        <w:t>Income Statement-Reporting Comprehensive Income-Expense Disaggregation Disclosure (Subtopic 2020-40): Clarifying the Effective Date</w:t>
      </w:r>
      <w:r>
        <w:rPr>
          <w:color w:val="000000"/>
        </w:rPr>
        <w:t xml:space="preserve"> </w:t>
      </w:r>
      <w:r>
        <w:rPr>
          <w:rFonts w:ascii="Times New Roman;serif" w:hAnsi="Times New Roman;serif"/>
          <w:b w:val="false"/>
          <w:color w:val="000000"/>
          <w:sz w:val="20"/>
        </w:rPr>
        <w:t xml:space="preserve">(“ASU 2025-01”). ASU 2024-03 requires additional disclosures of the nature of expenses included in the income statement and disclosures about specific expense categories included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expense captions presented in the statements of operations. ASU 2024-03, as clarified by ASU 2025-01, is effective for annual reporting periods beginning after December 15, 2026, and interim reporting periods within annual reporting periods beginning after December 15, 2027. Both early adoption and retrospective application are permitted. The Company is currently evaluating the impact that the adoption of these new standards will have on its consolidated financial statements and related disclosures.</w:t>
      </w:r>
    </w:p>
    <w:p>
      <w:pPr>
        <w:pStyle w:val="TextBody"/>
        <w:bidi w:val="0"/>
        <w:spacing w:lineRule="auto" w:line="288" w:before="120" w:after="240"/>
        <w:ind w:left="0" w:right="0" w:firstLine="450"/>
        <w:jc w:val="both"/>
        <w:rPr/>
      </w:pPr>
      <w:r>
        <w:rPr>
          <w:rFonts w:ascii="Times New Roman;serif" w:hAnsi="Times New Roman;serif"/>
          <w:b w:val="false"/>
          <w:color w:val="000000"/>
          <w:sz w:val="20"/>
        </w:rPr>
        <w:t xml:space="preserve">In May 2025, the FASB issued Accounting Standards Update No. 2025-04, </w:t>
      </w:r>
      <w:r>
        <w:rPr>
          <w:rFonts w:ascii="Times New Roman;serif" w:hAnsi="Times New Roman;serif"/>
          <w:b w:val="false"/>
          <w:i/>
          <w:color w:val="000000"/>
          <w:sz w:val="20"/>
        </w:rPr>
        <w:t>Compensation-Stock Compensation (Topic 718) and Revenue from Contracts with Customers (Topic 606):</w:t>
      </w:r>
      <w:r>
        <w:rPr>
          <w:color w:val="000000"/>
        </w:rPr>
        <w:t xml:space="preserve"> </w:t>
      </w:r>
      <w:r>
        <w:rPr>
          <w:rFonts w:ascii="Times New Roman;serif" w:hAnsi="Times New Roman;serif"/>
          <w:b w:val="false"/>
          <w:i/>
          <w:color w:val="000000"/>
          <w:sz w:val="20"/>
        </w:rPr>
        <w:t>Clarifications to Share-Based Consideration Payable to a Customer</w:t>
      </w:r>
      <w:r>
        <w:rPr>
          <w:color w:val="000000"/>
        </w:rPr>
        <w:t xml:space="preserve"> </w:t>
      </w:r>
      <w:r>
        <w:rPr>
          <w:rFonts w:ascii="Times New Roman;serif" w:hAnsi="Times New Roman;serif"/>
          <w:b w:val="false"/>
          <w:color w:val="000000"/>
          <w:sz w:val="20"/>
        </w:rPr>
        <w:t>(“ASU 2025-04”). ASU 2025-04 reduces diversity in practice and improves the decision usefulness and operability of the guidance for share-based consideration payable to a customer in conjunction with selling goods or services. The ASU is effective for annual reporting periods beginning after December 15, 2026 with updates to be applied on a retrospective or modified retrospective basis. Early adoption is permitted. The Company is evaluating the impact that this new standard will have on the Company’s consolidated financial statements and related disclosures.</w:t>
      </w:r>
    </w:p>
    <w:p>
      <w:pPr>
        <w:pStyle w:val="TextBody"/>
        <w:bidi w:val="0"/>
        <w:spacing w:lineRule="auto" w:line="288" w:before="120" w:after="240"/>
        <w:ind w:left="0" w:right="0" w:firstLine="450"/>
        <w:jc w:val="both"/>
        <w:rPr/>
      </w:pPr>
      <w:r>
        <w:rPr>
          <w:rFonts w:ascii="Times New Roman;serif" w:hAnsi="Times New Roman;serif"/>
          <w:b w:val="false"/>
          <w:color w:val="000000"/>
          <w:sz w:val="20"/>
        </w:rPr>
        <w:t xml:space="preserve">In September 2025, the FASB issued Accounting Standards Update No. 2025-06, </w:t>
      </w:r>
      <w:r>
        <w:rPr>
          <w:rFonts w:ascii="Times New Roman;serif" w:hAnsi="Times New Roman;serif"/>
          <w:b w:val="false"/>
          <w:i/>
          <w:color w:val="000000"/>
          <w:sz w:val="20"/>
        </w:rPr>
        <w:t xml:space="preserve">Intangibles - Goodwill and Other -Internal-Use Software (Subtopic 350-40): Targeted Improvements to the Accounting for Internal-Use Software </w:t>
      </w:r>
      <w:r>
        <w:rPr>
          <w:rFonts w:ascii="Times New Roman;serif" w:hAnsi="Times New Roman;serif"/>
          <w:b w:val="false"/>
          <w:color w:val="000000"/>
          <w:sz w:val="20"/>
        </w:rPr>
        <w:t>(“ASU 2025-06”). ASU 2025-06 removes all references to project stages throughout Subtopic 350-40 and clarifies the threshold that the entities must meet to begin capitalizing costs. The ASU is effective for annual reporting periods beginning after December 15, 2027, and interim reporting periods within those annual reporting periods. Early adoption is permitted. The Company is evaluating the impact that this new standard will have on the Company’s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2. Segment and Geographical Information</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chief operating decision maker (“CODM”) is its Chief Executive Officer (“CEO”),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The Company manages its operations and allocates resources as a single operating segment.</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following table includes the significant expense categories and amounts that are regularly provided to the CODM (in thousands):</w:t>
      </w:r>
    </w:p>
    <w:tbl>
      <w:tblPr>
        <w:tblW w:w="7103" w:type="dxa"/>
        <w:jc w:val="left"/>
        <w:tblInd w:w="0" w:type="dxa"/>
        <w:tblLayout w:type="fixed"/>
        <w:tblCellMar>
          <w:top w:w="28" w:type="dxa"/>
          <w:left w:w="28" w:type="dxa"/>
          <w:bottom w:w="28" w:type="dxa"/>
          <w:right w:w="28" w:type="dxa"/>
        </w:tblCellMar>
      </w:tblPr>
      <w:tblGrid>
        <w:gridCol w:w="954"/>
        <w:gridCol w:w="841"/>
        <w:gridCol w:w="844"/>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35,967</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Personnel-related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65,327</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30,102</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Stock-based compensation and personnel-related expenses presented in the above table are related to operating expenses and exclude amounts included in the cost of revenue.</w:t>
      </w:r>
    </w:p>
    <w:p>
      <w:pPr>
        <w:pStyle w:val="TextBody"/>
        <w:bidi w:val="0"/>
        <w:spacing w:lineRule="auto" w:line="288" w:before="120" w:after="283"/>
        <w:jc w:val="both"/>
        <w:rPr/>
      </w:pPr>
      <w:r>
        <w:rPr>
          <w:rFonts w:ascii="Times New Roman;serif" w:hAnsi="Times New Roman;serif"/>
          <w:b w:val="false"/>
          <w:color w:val="000000"/>
          <w:sz w:val="20"/>
        </w:rPr>
        <w:t>(2) Other segment items included are primarily related to interest income, income tax (benefit) provision, engineering design related costs</w:t>
      </w:r>
      <w:r>
        <w:rPr>
          <w:rFonts w:ascii="Times New Roman;serif" w:hAnsi="Times New Roman;serif"/>
          <w:b w:val="false"/>
          <w:color w:val="231F20"/>
          <w:sz w:val="20"/>
        </w:rPr>
        <w:t xml:space="preserve">, and </w:t>
      </w:r>
      <w:r>
        <w:rPr>
          <w:rFonts w:ascii="Times New Roman;serif" w:hAnsi="Times New Roman;serif"/>
          <w:b w:val="false"/>
          <w:color w:val="000000"/>
          <w:sz w:val="20"/>
        </w:rPr>
        <w:t>professional and consulting services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Revenue by location is determined by the billing address of the Company’s customers, which includes the Company’s end customers’ manufacturing partners and the Company’s distributors.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following table sets forth revenue by geographic area (in thousands):</w:t>
      </w:r>
    </w:p>
    <w:tbl>
      <w:tblPr>
        <w:tblW w:w="5337" w:type="dxa"/>
        <w:jc w:val="left"/>
        <w:tblInd w:w="0" w:type="dxa"/>
        <w:tblLayout w:type="fixed"/>
        <w:tblCellMar>
          <w:top w:w="28" w:type="dxa"/>
          <w:left w:w="28" w:type="dxa"/>
          <w:bottom w:w="28" w:type="dxa"/>
          <w:right w:w="28" w:type="dxa"/>
        </w:tblCellMar>
      </w:tblPr>
      <w:tblGrid>
        <w:gridCol w:w="434"/>
        <w:gridCol w:w="382"/>
        <w:gridCol w:w="384"/>
        <w:gridCol w:w="211"/>
        <w:gridCol w:w="826"/>
        <w:gridCol w:w="109"/>
        <w:gridCol w:w="109"/>
        <w:gridCol w:w="109"/>
        <w:gridCol w:w="109"/>
        <w:gridCol w:w="211"/>
        <w:gridCol w:w="826"/>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Property and equipment by geographic location is based on the location of the asset. As of December 31, 2025, 20% and 73% of the Company’s property and equipment was located in the United States and Taiwan, respectively. As of December 31, 2024, 17% and 82% of the Company’s property and equipment was located in the United States and Taiwan, respectively. As of December 31, 2023, substantially all </w:t>
      </w:r>
      <w:r>
        <w:rPr>
          <w:rFonts w:ascii="Times New Roman;serif" w:hAnsi="Times New Roman;serif"/>
          <w:b w:val="false"/>
          <w:color w:val="000000"/>
          <w:sz w:val="20"/>
          <w:shd w:fill="FFFFFF" w:val="clear"/>
        </w:rPr>
        <w:t>of the Company’s property and equipment was located in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3. Marketable Securities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amortized cost, gross unrealized gains and losses, and fair value of available-for-sale securities by major security type are as follows (in thousands):</w:t>
      </w:r>
    </w:p>
    <w:tbl>
      <w:tblPr>
        <w:tblW w:w="8373" w:type="dxa"/>
        <w:jc w:val="left"/>
        <w:tblInd w:w="0" w:type="dxa"/>
        <w:tblLayout w:type="fixed"/>
        <w:tblCellMar>
          <w:top w:w="28" w:type="dxa"/>
          <w:left w:w="28" w:type="dxa"/>
          <w:bottom w:w="28" w:type="dxa"/>
          <w:right w:w="28" w:type="dxa"/>
        </w:tblCellMar>
      </w:tblPr>
      <w:tblGrid>
        <w:gridCol w:w="1059"/>
        <w:gridCol w:w="931"/>
        <w:gridCol w:w="934"/>
        <w:gridCol w:w="211"/>
        <w:gridCol w:w="976"/>
        <w:gridCol w:w="109"/>
        <w:gridCol w:w="109"/>
        <w:gridCol w:w="109"/>
        <w:gridCol w:w="109"/>
        <w:gridCol w:w="211"/>
        <w:gridCol w:w="616"/>
        <w:gridCol w:w="109"/>
        <w:gridCol w:w="109"/>
        <w:gridCol w:w="109"/>
        <w:gridCol w:w="109"/>
        <w:gridCol w:w="233"/>
        <w:gridCol w:w="541"/>
        <w:gridCol w:w="121"/>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As of December 31,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Gross</w:t>
              <w:br/>
              <w:t>Unrealized</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Gross</w:t>
              <w:br/>
              <w:t>Unrealized</w:t>
              <w:br/>
              <w:t>Losses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Fair</w:t>
              <w:br/>
              <w:t>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Cash equivalents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5,495 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148,268 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148,267 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Marketable securities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U.S. treasury and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02" w:type="dxa"/>
        <w:jc w:val="left"/>
        <w:tblInd w:w="0" w:type="dxa"/>
        <w:tblLayout w:type="fixed"/>
        <w:tblCellMar>
          <w:top w:w="28" w:type="dxa"/>
          <w:left w:w="28" w:type="dxa"/>
          <w:bottom w:w="28" w:type="dxa"/>
          <w:right w:w="28" w:type="dxa"/>
        </w:tblCellMar>
      </w:tblPr>
      <w:tblGrid>
        <w:gridCol w:w="1059"/>
        <w:gridCol w:w="931"/>
        <w:gridCol w:w="934"/>
        <w:gridCol w:w="211"/>
        <w:gridCol w:w="826"/>
        <w:gridCol w:w="109"/>
        <w:gridCol w:w="109"/>
        <w:gridCol w:w="109"/>
        <w:gridCol w:w="109"/>
        <w:gridCol w:w="409"/>
        <w:gridCol w:w="1195"/>
        <w:gridCol w:w="211"/>
        <w:gridCol w:w="109"/>
        <w:gridCol w:w="109"/>
        <w:gridCol w:w="109"/>
        <w:gridCol w:w="385"/>
        <w:gridCol w:w="1261"/>
        <w:gridCol w:w="199"/>
        <w:gridCol w:w="109"/>
        <w:gridCol w:w="109"/>
        <w:gridCol w:w="109"/>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As of December 31, 2024</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 xml:space="preserve">December 31, 2025 and </w:t>
      </w:r>
      <w:r>
        <w:rPr>
          <w:rFonts w:ascii="Times New Roman;serif" w:hAnsi="Times New Roman;serif"/>
          <w:b w:val="false"/>
          <w:color w:val="231F20"/>
          <w:sz w:val="20"/>
        </w:rPr>
        <w:t>2024, the Company’s marketable securities that were in a continuous loss position for 12 months or more, as well as the unrealized losses on those marketable securities,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contractual maturities of cash equivalents and marketable securities classified as available-for-sale are as follows (in thousands):</w:t>
      </w:r>
    </w:p>
    <w:tbl>
      <w:tblPr>
        <w:tblW w:w="9113" w:type="dxa"/>
        <w:jc w:val="left"/>
        <w:tblInd w:w="0" w:type="dxa"/>
        <w:tblLayout w:type="fixed"/>
        <w:tblCellMar>
          <w:top w:w="28" w:type="dxa"/>
          <w:left w:w="28" w:type="dxa"/>
          <w:bottom w:w="28" w:type="dxa"/>
          <w:right w:w="28" w:type="dxa"/>
        </w:tblCellMar>
      </w:tblPr>
      <w:tblGrid>
        <w:gridCol w:w="1125"/>
        <w:gridCol w:w="985"/>
        <w:gridCol w:w="994"/>
        <w:gridCol w:w="211"/>
        <w:gridCol w:w="976"/>
        <w:gridCol w:w="109"/>
        <w:gridCol w:w="109"/>
        <w:gridCol w:w="109"/>
        <w:gridCol w:w="109"/>
        <w:gridCol w:w="211"/>
        <w:gridCol w:w="976"/>
        <w:gridCol w:w="109"/>
        <w:gridCol w:w="109"/>
        <w:gridCol w:w="109"/>
        <w:gridCol w:w="109"/>
        <w:gridCol w:w="229"/>
        <w:gridCol w:w="898"/>
        <w:gridCol w:w="118"/>
        <w:gridCol w:w="109"/>
        <w:gridCol w:w="109"/>
        <w:gridCol w:w="109"/>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10101"/>
                <w:sz w:val="16"/>
              </w:rPr>
            </w:pPr>
            <w:r>
              <w:rPr>
                <w:rFonts w:ascii="Times New Roman;serif" w:hAnsi="Times New Roman;serif"/>
                <w:b/>
                <w:color w:val="010101"/>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425,733 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468,186 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893,919 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894,345 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Actual maturities may differ from contractual maturities because borrowers may have the right to call or prepay obligations with or without call or prepayment penalties.</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 Company did not recognize any material allowance for credit losses as of </w:t>
      </w:r>
      <w:r>
        <w:rPr>
          <w:rFonts w:ascii="Times New Roman;serif" w:hAnsi="Times New Roman;serif"/>
          <w:b w:val="false"/>
          <w:color w:val="000000"/>
          <w:sz w:val="20"/>
        </w:rPr>
        <w:t xml:space="preserve">December 31, 2025 and </w:t>
      </w:r>
      <w:r>
        <w:rPr>
          <w:rFonts w:ascii="Times New Roman;serif" w:hAnsi="Times New Roman;serif"/>
          <w:b w:val="false"/>
          <w:color w:val="231F20"/>
          <w:sz w:val="20"/>
        </w:rPr>
        <w:t xml:space="preserve">2024 </w:t>
      </w:r>
      <w:r>
        <w:rPr>
          <w:rFonts w:ascii="Times New Roman;serif" w:hAnsi="Times New Roman;serif"/>
          <w:b w:val="false"/>
          <w:color w:val="000000"/>
          <w:sz w:val="20"/>
        </w:rPr>
        <w:t xml:space="preserve">or </w:t>
      </w:r>
      <w:r>
        <w:rPr>
          <w:rFonts w:ascii="Times New Roman;serif" w:hAnsi="Times New Roman;serif"/>
          <w:b w:val="false"/>
          <w:color w:val="231F20"/>
          <w:sz w:val="20"/>
        </w:rPr>
        <w:t xml:space="preserve">impairment charges for the years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 xml:space="preserve">2024 and </w:t>
      </w:r>
      <w:r>
        <w:rPr>
          <w:rFonts w:ascii="Times New Roman;serif" w:hAnsi="Times New Roman;serif"/>
          <w:b w:val="false"/>
          <w:color w:val="000000"/>
          <w:sz w:val="20"/>
        </w:rPr>
        <w:t>2023</w:t>
      </w:r>
      <w:r>
        <w:rPr>
          <w:rFonts w:ascii="Times New Roman;serif" w:hAnsi="Times New Roman;serif"/>
          <w:b w:val="false"/>
          <w:color w:val="231F20"/>
          <w:sz w:val="20"/>
        </w:rPr>
        <w:t>.</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There were no material realized gains or losses from available-for-sale securities that were reclassified out of accumulated other comprehensive income (loss) for the years ended </w:t>
      </w:r>
      <w:r>
        <w:rPr>
          <w:rFonts w:ascii="Times New Roman;serif" w:hAnsi="Times New Roman;serif"/>
          <w:b w:val="false"/>
          <w:color w:val="000000"/>
          <w:sz w:val="20"/>
        </w:rPr>
        <w:t>December 31, 2025, 2024</w:t>
      </w:r>
      <w:r>
        <w:rPr>
          <w:rFonts w:ascii="Times New Roman;serif" w:hAnsi="Times New Roman;serif"/>
          <w:b w:val="false"/>
          <w:color w:val="231F20"/>
          <w:sz w:val="20"/>
        </w:rPr>
        <w:t xml:space="preserve">, and </w:t>
      </w:r>
      <w:r>
        <w:rPr>
          <w:rFonts w:ascii="Times New Roman;serif" w:hAnsi="Times New Roman;serif"/>
          <w:b w:val="false"/>
          <w:color w:val="000000"/>
          <w:sz w:val="20"/>
        </w:rPr>
        <w:t>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4. Fair Value of Assets and Liabilities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information about the Company’s financial assets measured at fair value on a recurring basis based on the fair value hierarchy as follows (in thousands):</w:t>
      </w:r>
    </w:p>
    <w:tbl>
      <w:tblPr>
        <w:tblW w:w="7579" w:type="dxa"/>
        <w:jc w:val="left"/>
        <w:tblInd w:w="0" w:type="dxa"/>
        <w:tblLayout w:type="fixed"/>
        <w:tblCellMar>
          <w:top w:w="28" w:type="dxa"/>
          <w:left w:w="28" w:type="dxa"/>
          <w:bottom w:w="28" w:type="dxa"/>
          <w:right w:w="28" w:type="dxa"/>
        </w:tblCellMar>
      </w:tblPr>
      <w:tblGrid>
        <w:gridCol w:w="1059"/>
        <w:gridCol w:w="931"/>
        <w:gridCol w:w="934"/>
        <w:gridCol w:w="211"/>
        <w:gridCol w:w="826"/>
        <w:gridCol w:w="109"/>
        <w:gridCol w:w="109"/>
        <w:gridCol w:w="109"/>
        <w:gridCol w:w="109"/>
        <w:gridCol w:w="211"/>
        <w:gridCol w:w="976"/>
        <w:gridCol w:w="109"/>
        <w:gridCol w:w="109"/>
        <w:gridCol w:w="109"/>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As of December 31, 2025</w:t>
            </w:r>
          </w:p>
        </w:tc>
        <w:tc>
          <w:tcPr>
            <w:tcW w:w="1450" w:type="dxa"/>
            <w:gridSpan w:val="4"/>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Level 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Total Fair</w:t>
              <w:br/>
              <w:t>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Cash equivalents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142,772 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10101"/>
                <w:sz w:val="20"/>
              </w:rPr>
            </w:pPr>
            <w:r>
              <w:rPr>
                <w:rFonts w:ascii="Times New Roman;serif" w:hAnsi="Times New Roman;serif"/>
                <w:b w:val="false"/>
                <w:color w:val="010101"/>
                <w:sz w:val="20"/>
              </w:rPr>
              <w:t>148,267 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Marketable securities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U.S. treasury and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10101"/>
                <w:sz w:val="20"/>
              </w:rPr>
            </w:pPr>
            <w:r>
              <w:rPr>
                <w:rFonts w:ascii="Times New Roman;serif" w:hAnsi="Times New Roman;serif"/>
                <w:b w:val="false"/>
                <w:color w:val="010101"/>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74" w:type="dxa"/>
        <w:jc w:val="left"/>
        <w:tblInd w:w="0" w:type="dxa"/>
        <w:tblLayout w:type="fixed"/>
        <w:tblCellMar>
          <w:top w:w="28" w:type="dxa"/>
          <w:left w:w="28" w:type="dxa"/>
          <w:bottom w:w="28" w:type="dxa"/>
          <w:right w:w="28" w:type="dxa"/>
        </w:tblCellMar>
      </w:tblPr>
      <w:tblGrid>
        <w:gridCol w:w="1059"/>
        <w:gridCol w:w="931"/>
        <w:gridCol w:w="934"/>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c>
          <w:tcPr>
            <w:tcW w:w="1518"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 xml:space="preserve">December 31, 2025 and </w:t>
      </w:r>
      <w:r>
        <w:rPr>
          <w:rFonts w:ascii="Times New Roman;serif" w:hAnsi="Times New Roman;serif"/>
          <w:b w:val="false"/>
          <w:color w:val="231F20"/>
          <w:sz w:val="20"/>
        </w:rPr>
        <w:t xml:space="preserve">2024, there were no </w:t>
      </w:r>
      <w:r>
        <w:rPr>
          <w:rFonts w:ascii="Times New Roman;serif" w:hAnsi="Times New Roman;serif"/>
          <w:b w:val="false"/>
          <w:color w:val="000000"/>
          <w:sz w:val="20"/>
        </w:rPr>
        <w:t>marketable securities with Level 3 fair value hierarchy measurement.</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Nonrecurring Basis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Goodwill, intangible assets, and property, plant and equipment, are not required to be measured at fair value on a recurring basis. However, if the Company is required to evaluate these assets for impairment, whether due to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triggering events or because of the required annual impairment test, and a resulting impairment is recorded to reduce the carrying value to the fair value, these assets are measured at fair value during such period. There was no impairment on these assets during the years ended December 31, 2025, 2024, and 2023.</w:t>
      </w:r>
    </w:p>
    <w:p>
      <w:pPr>
        <w:pStyle w:val="TextBody"/>
        <w:bidi w:val="0"/>
        <w:spacing w:before="0" w:after="0"/>
        <w:ind w:left="0" w:right="0" w:firstLine="576"/>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As of December 31, 2025 and </w:t>
      </w:r>
      <w:r>
        <w:rPr>
          <w:rFonts w:ascii="Times New Roman;serif" w:hAnsi="Times New Roman;serif"/>
          <w:b w:val="false"/>
          <w:color w:val="231F20"/>
          <w:sz w:val="20"/>
        </w:rPr>
        <w:t>2024</w:t>
      </w:r>
      <w:r>
        <w:rPr>
          <w:rFonts w:ascii="Times New Roman;serif" w:hAnsi="Times New Roman;serif"/>
          <w:b w:val="false"/>
          <w:color w:val="000000"/>
          <w:sz w:val="20"/>
        </w:rPr>
        <w:t>, the Company had no liabilities required to be measured at fair value on a nonrecurring basis.</w:t>
      </w:r>
    </w:p>
    <w:p>
      <w:pPr>
        <w:pStyle w:val="TextBody"/>
        <w:bidi w:val="0"/>
        <w:spacing w:before="0" w:after="0"/>
        <w:ind w:left="0" w:right="0" w:firstLine="576"/>
        <w:jc w:val="both"/>
        <w:rPr/>
      </w:pPr>
      <w:r>
        <w:rPr/>
      </w:r>
    </w:p>
    <w:p>
      <w:pPr>
        <w:pStyle w:val="TextBody"/>
        <w:bidi w:val="0"/>
        <w:spacing w:lineRule="auto" w:line="288" w:before="0" w:after="0"/>
        <w:jc w:val="both"/>
        <w:rPr/>
      </w:pPr>
      <w:r>
        <w:rPr>
          <w:rFonts w:ascii="Times New Roman;serif" w:hAnsi="Times New Roman;serif"/>
          <w:b/>
          <w:color w:val="000000"/>
          <w:sz w:val="20"/>
        </w:rPr>
        <w:t>Assets and Liabilities N</w:t>
      </w:r>
      <w:r>
        <w:rPr>
          <w:rFonts w:ascii="Times New Roman;serif" w:hAnsi="Times New Roman;serif"/>
          <w:b/>
          <w:color w:val="231F20"/>
          <w:sz w:val="20"/>
        </w:rPr>
        <w:t>ot Measured at Fair Value</w:t>
      </w:r>
    </w:p>
    <w:p>
      <w:pPr>
        <w:pStyle w:val="TextBody"/>
        <w:bidi w:val="0"/>
        <w:spacing w:before="0" w:after="0"/>
        <w:ind w:left="0" w:right="0" w:firstLine="576"/>
        <w:jc w:val="both"/>
        <w:rPr/>
      </w:pPr>
      <w:r>
        <w:rPr/>
      </w:r>
    </w:p>
    <w:p>
      <w:pPr>
        <w:pStyle w:val="TextBody"/>
        <w:bidi w:val="0"/>
        <w:spacing w:lineRule="auto" w:line="288" w:before="0" w:after="0"/>
        <w:ind w:left="0" w:right="0" w:firstLine="450"/>
        <w:jc w:val="both"/>
        <w:rPr/>
      </w:pPr>
      <w:r>
        <w:rPr>
          <w:rFonts w:ascii="Times New Roman;serif" w:hAnsi="Times New Roman;serif"/>
          <w:b w:val="false"/>
          <w:color w:val="231F20"/>
          <w:sz w:val="20"/>
        </w:rPr>
        <w:t>The carryi</w:t>
      </w:r>
      <w:r>
        <w:rPr>
          <w:rFonts w:ascii="Times New Roman;serif" w:hAnsi="Times New Roman;serif"/>
          <w:b w:val="false"/>
          <w:color w:val="000000"/>
          <w:sz w:val="20"/>
        </w:rPr>
        <w:t xml:space="preserve">ng amount of the Company’s financial instruments, including cash equivalents, accounts receivable, and accounts payable, approximates their respective fair values because of their short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5. Consolidated Balance Sheet Components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Inventory</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Inventory consists of the following (in thousands):</w:t>
      </w:r>
    </w:p>
    <w:tbl>
      <w:tblPr>
        <w:tblW w:w="3985" w:type="dxa"/>
        <w:jc w:val="left"/>
        <w:tblInd w:w="0" w:type="dxa"/>
        <w:tblLayout w:type="fixed"/>
        <w:tblCellMar>
          <w:top w:w="28" w:type="dxa"/>
          <w:left w:w="28" w:type="dxa"/>
          <w:bottom w:w="28" w:type="dxa"/>
          <w:right w:w="28" w:type="dxa"/>
        </w:tblCellMar>
      </w:tblPr>
      <w:tblGrid>
        <w:gridCol w:w="554"/>
        <w:gridCol w:w="486"/>
        <w:gridCol w:w="491"/>
        <w:gridCol w:w="211"/>
        <w:gridCol w:w="721"/>
        <w:gridCol w:w="109"/>
        <w:gridCol w:w="109"/>
        <w:gridCol w:w="109"/>
        <w:gridCol w:w="109"/>
        <w:gridCol w:w="211"/>
        <w:gridCol w:w="721"/>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Property and Equipment, Net</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Property and equipment, net consists of the following (in thousands):</w:t>
      </w:r>
    </w:p>
    <w:tbl>
      <w:tblPr>
        <w:tblW w:w="5348" w:type="dxa"/>
        <w:jc w:val="left"/>
        <w:tblInd w:w="0" w:type="dxa"/>
        <w:tblLayout w:type="fixed"/>
        <w:tblCellMar>
          <w:top w:w="28" w:type="dxa"/>
          <w:left w:w="28" w:type="dxa"/>
          <w:bottom w:w="28" w:type="dxa"/>
          <w:right w:w="28" w:type="dxa"/>
        </w:tblCellMar>
      </w:tblPr>
      <w:tblGrid>
        <w:gridCol w:w="1050"/>
        <w:gridCol w:w="920"/>
        <w:gridCol w:w="924"/>
        <w:gridCol w:w="211"/>
        <w:gridCol w:w="721"/>
        <w:gridCol w:w="109"/>
        <w:gridCol w:w="109"/>
        <w:gridCol w:w="109"/>
        <w:gridCol w:w="109"/>
        <w:gridCol w:w="211"/>
        <w:gridCol w:w="721"/>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8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Depreciation and amortization expense for the years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 xml:space="preserve">2024 and </w:t>
      </w:r>
      <w:r>
        <w:rPr>
          <w:rFonts w:ascii="Times New Roman;serif" w:hAnsi="Times New Roman;serif"/>
          <w:b w:val="false"/>
          <w:color w:val="000000"/>
          <w:sz w:val="20"/>
        </w:rPr>
        <w:t>2023 was</w:t>
      </w:r>
      <w:r>
        <w:rPr>
          <w:color w:val="231F20"/>
        </w:rPr>
        <w:t xml:space="preserve"> </w:t>
      </w:r>
      <w:r>
        <w:rPr>
          <w:rFonts w:ascii="Times New Roman;serif" w:hAnsi="Times New Roman;serif"/>
          <w:b w:val="false"/>
          <w:color w:val="000000"/>
          <w:sz w:val="20"/>
        </w:rPr>
        <w:t>$6.8 million,</w:t>
      </w:r>
      <w:r>
        <w:rPr>
          <w:color w:val="231F20"/>
        </w:rPr>
        <w:t xml:space="preserve"> </w:t>
      </w:r>
      <w:r>
        <w:rPr>
          <w:rFonts w:ascii="Times New Roman;serif" w:hAnsi="Times New Roman;serif"/>
          <w:b w:val="false"/>
          <w:color w:val="000000"/>
          <w:sz w:val="20"/>
        </w:rPr>
        <w:t>$3.2 million, and $1.8 million, respectively</w:t>
      </w:r>
      <w:r>
        <w:rPr>
          <w:rFonts w:ascii="Times New Roman;serif" w:hAnsi="Times New Roman;serif"/>
          <w:b w:val="false"/>
          <w:color w:val="231F20"/>
          <w:sz w:val="20"/>
        </w:rPr>
        <w:t xml:space="preserve">. Construction in progress primarily includes production equipment costs capitalized relating to the Company’s future products and will be placed in service and begin to depreciate when related manufacturing commences. Production equipment has been placed into service for the manufacturing of released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color w:val="231F20"/>
          <w:sz w:val="20"/>
        </w:rPr>
      </w:pPr>
      <w:r>
        <w:rPr>
          <w:rFonts w:ascii="Times New Roman;serif" w:hAnsi="Times New Roman;serif"/>
          <w:b/>
          <w:color w:val="231F20"/>
          <w:sz w:val="20"/>
        </w:rPr>
        <w:t>Accrued Expenses and Other Current Liabilities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713" w:type="dxa"/>
        <w:jc w:val="left"/>
        <w:tblInd w:w="0" w:type="dxa"/>
        <w:tblLayout w:type="fixed"/>
        <w:tblCellMar>
          <w:top w:w="28" w:type="dxa"/>
          <w:left w:w="28" w:type="dxa"/>
          <w:bottom w:w="28" w:type="dxa"/>
          <w:right w:w="28" w:type="dxa"/>
        </w:tblCellMar>
      </w:tblPr>
      <w:tblGrid>
        <w:gridCol w:w="1544"/>
        <w:gridCol w:w="1355"/>
        <w:gridCol w:w="1360"/>
        <w:gridCol w:w="211"/>
        <w:gridCol w:w="721"/>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in progress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software license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Supplemental Cash Flow Information </w:t>
      </w:r>
    </w:p>
    <w:p>
      <w:pPr>
        <w:pStyle w:val="TextBody"/>
        <w:bidi w:val="0"/>
        <w:spacing w:lineRule="auto" w:line="333"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non-cash activities (in thousands):</w:t>
      </w:r>
    </w:p>
    <w:tbl>
      <w:tblPr>
        <w:tblW w:w="10205" w:type="dxa"/>
        <w:jc w:val="left"/>
        <w:tblInd w:w="0" w:type="dxa"/>
        <w:tblLayout w:type="fixed"/>
        <w:tblCellMar>
          <w:top w:w="28" w:type="dxa"/>
          <w:left w:w="28" w:type="dxa"/>
          <w:bottom w:w="28" w:type="dxa"/>
          <w:right w:w="28" w:type="dxa"/>
        </w:tblCellMar>
      </w:tblPr>
      <w:tblGrid>
        <w:gridCol w:w="2349"/>
        <w:gridCol w:w="2010"/>
        <w:gridCol w:w="2022"/>
        <w:gridCol w:w="211"/>
        <w:gridCol w:w="721"/>
        <w:gridCol w:w="109"/>
        <w:gridCol w:w="109"/>
        <w:gridCol w:w="109"/>
        <w:gridCol w:w="109"/>
        <w:gridCol w:w="211"/>
        <w:gridCol w:w="826"/>
        <w:gridCol w:w="109"/>
        <w:gridCol w:w="109"/>
        <w:gridCol w:w="109"/>
        <w:gridCol w:w="109"/>
        <w:gridCol w:w="211"/>
        <w:gridCol w:w="616"/>
        <w:gridCol w:w="156"/>
      </w:tblGrid>
      <w:tr>
        <w:trPr/>
        <w:tc>
          <w:tcPr>
            <w:tcW w:w="234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through tenant improvement allowance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 into common stock in connection with initial public offering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 xml:space="preserve">6. Business combination </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On November 10, 2025, the Company acquired 100% of the voting equity interest of aiXscale Photonics GmbH (“aiXscale”), a privately held company specializing in fiber-chip coupling technologies. The acquisition is expected to help enable the Company to further develop its products and solutions by integrating aiXscale’s technology. The total purchase consideration transferred, entirely in cash, was $31.1 million. </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acquisition was accounted for as a business combination and the purchase consideration was allocated as follows: $14.5 million to an in</w:t>
        <w:noBreakHyphen/>
        <w:t>process research and development (“IPR&amp;D”) intangible asset, $(0.3) million to net identifiable assets acquired and liabilities assumed, and the excess of purchase consideration over fair value of $16.9 million recorded as goodwill, which was allocated to the Company’s single reporting unit and operating segment. Goodwill generated from this business combination is primarily attributable to the assembled workforce and expected post-acquisition synergies from integrating the technology into the Company's platforms. Goodwill recognized is not deductible for tax purposes.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 IPR&amp;D intangible asset will not be amortized until the related projects are completed or abandoned and will be tested for impairment at least annually, or more frequently if events or changes in circumstances indicate impairment. The IPR&amp;D intangible asset was valued based on an income approach. </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Pro forma results of operations have not been presented because the effects of the acquisitions were not material to the Company’s consolidated statements of operations and comprehensive income (loss). </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Additional information related to the acquisition, such as that related to income tax and other contingencies, existing as of the acquisition date may become known during the remainder of the measurement period, not to exceed 12 months from the acquisition date, which may result in changes to the amounts and allocations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7. Leases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has operating leases in various locations. The Company’s lease payments consist primarily of fixed rental payments for the right to use the underlying leased assets over the lease terms for all leases.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shd w:fill="FFFFFF" w:val="clear"/>
        </w:rPr>
        <w:t xml:space="preserve">On December 16, 2024, the Company entered into a lease agreement with a lessor to lease approximately 154,231 square feet of office space for its new headquarters located in San Jose, California. The lease has a term of approximately </w:t>
      </w:r>
      <w:r>
        <w:rPr>
          <w:rFonts w:ascii="Times New Roman;serif" w:hAnsi="Times New Roman;serif"/>
          <w:b w:val="false"/>
          <w:color w:val="231F20"/>
          <w:sz w:val="20"/>
        </w:rPr>
        <w:t xml:space="preserve">7.5 years </w:t>
      </w:r>
      <w:r>
        <w:rPr>
          <w:rFonts w:ascii="Times New Roman;serif" w:hAnsi="Times New Roman;serif"/>
          <w:b w:val="false"/>
          <w:color w:val="000000"/>
          <w:sz w:val="20"/>
          <w:shd w:fill="FFFFFF" w:val="clear"/>
        </w:rPr>
        <w:t xml:space="preserve">and commenced in June 2025. The Company has the option to extend the lease for up to two consecutive terms of 60 months each, subject to the terms therein. </w:t>
      </w:r>
      <w:r>
        <w:rPr>
          <w:rFonts w:ascii="Times New Roman;serif" w:hAnsi="Times New Roman;serif"/>
          <w:b w:val="false"/>
          <w:color w:val="000000"/>
          <w:sz w:val="20"/>
        </w:rPr>
        <w:t xml:space="preserve">The option to renew the term was not included for purposes of determining the ROU and associated lease liabilities as the Company determined that the renewal of the lease is not reasonably certain to be exercised as of the lease commencement date.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Supplemental balance sheet information related to the Company’s operating leases is as follows (in thousands):</w:t>
      </w:r>
    </w:p>
    <w:tbl>
      <w:tblPr>
        <w:tblW w:w="5528" w:type="dxa"/>
        <w:jc w:val="left"/>
        <w:tblInd w:w="0" w:type="dxa"/>
        <w:tblLayout w:type="fixed"/>
        <w:tblCellMar>
          <w:top w:w="28" w:type="dxa"/>
          <w:left w:w="28" w:type="dxa"/>
          <w:bottom w:w="28" w:type="dxa"/>
          <w:right w:w="28" w:type="dxa"/>
        </w:tblCellMar>
      </w:tblPr>
      <w:tblGrid>
        <w:gridCol w:w="1148"/>
        <w:gridCol w:w="1010"/>
        <w:gridCol w:w="1021"/>
        <w:gridCol w:w="211"/>
        <w:gridCol w:w="721"/>
        <w:gridCol w:w="109"/>
        <w:gridCol w:w="109"/>
        <w:gridCol w:w="109"/>
        <w:gridCol w:w="109"/>
        <w:gridCol w:w="211"/>
        <w:gridCol w:w="616"/>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Operating lease ROU assets, net are included in other assets; operating lease liabilities, current are included in accrued expenses and other current liabilities; and operating lease liabilities, non-current are included in other liabilities, on the consolidated balance sheets.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components of lease expense, included in operating expenses, were as follows (in thousands):</w:t>
      </w:r>
    </w:p>
    <w:tbl>
      <w:tblPr>
        <w:tblW w:w="5636" w:type="dxa"/>
        <w:jc w:val="left"/>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weighted-average remaining lease term and discount rates were as follows:</w:t>
      </w:r>
    </w:p>
    <w:tbl>
      <w:tblPr>
        <w:tblW w:w="5993" w:type="dxa"/>
        <w:jc w:val="left"/>
        <w:tblInd w:w="0" w:type="dxa"/>
        <w:tblLayout w:type="fixed"/>
        <w:tblCellMar>
          <w:top w:w="28" w:type="dxa"/>
          <w:left w:w="28" w:type="dxa"/>
          <w:bottom w:w="28" w:type="dxa"/>
          <w:right w:w="28" w:type="dxa"/>
        </w:tblCellMar>
      </w:tblPr>
      <w:tblGrid>
        <w:gridCol w:w="1486"/>
        <w:gridCol w:w="1308"/>
        <w:gridCol w:w="1316"/>
        <w:gridCol w:w="180"/>
        <w:gridCol w:w="181"/>
        <w:gridCol w:w="313"/>
        <w:gridCol w:w="126"/>
        <w:gridCol w:w="126"/>
        <w:gridCol w:w="126"/>
        <w:gridCol w:w="233"/>
        <w:gridCol w:w="233"/>
        <w:gridCol w:w="365"/>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333" w:before="24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future minimum operating lease payments for each of the next five years and thereafter are as follows as of December 31, 2025 (in thousands):</w:t>
      </w:r>
    </w:p>
    <w:tbl>
      <w:tblPr>
        <w:tblW w:w="4589" w:type="dxa"/>
        <w:jc w:val="left"/>
        <w:tblInd w:w="0" w:type="dxa"/>
        <w:tblLayout w:type="fixed"/>
        <w:tblCellMar>
          <w:top w:w="28" w:type="dxa"/>
          <w:left w:w="28" w:type="dxa"/>
          <w:bottom w:w="28" w:type="dxa"/>
          <w:right w:w="28" w:type="dxa"/>
        </w:tblCellMar>
      </w:tblPr>
      <w:tblGrid>
        <w:gridCol w:w="1150"/>
        <w:gridCol w:w="1013"/>
        <w:gridCol w:w="1016"/>
        <w:gridCol w:w="274"/>
        <w:gridCol w:w="936"/>
        <w:gridCol w:w="200"/>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Years ending December 31</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(7,443)</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30,974 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50"/>
        <w:jc w:val="left"/>
        <w:rPr>
          <w:rFonts w:ascii="Times New Roman;serif" w:hAnsi="Times New Roman;serif"/>
          <w:b/>
          <w:color w:val="231F20"/>
          <w:sz w:val="20"/>
        </w:rPr>
      </w:pPr>
      <w:r>
        <w:rPr>
          <w:rFonts w:ascii="Times New Roman;serif" w:hAnsi="Times New Roman;serif"/>
          <w:b/>
          <w:color w:val="231F20"/>
          <w:sz w:val="20"/>
        </w:rPr>
        <w:t>8. Commitments and Contingencies</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Purchase Commitments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depends upon third-party subcontractors to manufacture wafers and other inventory parts or to perform certain services. The Company’s subcontractor relationships typically allow for the cancellation of outstanding purchase orders but require payment of all expenses incurred through the date of cancellation. The Company’s purchase commitments also include payments for software licenses and cloud services when there is a fixed, non-cancellable payment schedule or when minimum payments are due according to a delivery schedule. The Company is committed to make the following minimum payments under its purchase commitments as of December 31, 2025 (in thousands):</w:t>
      </w:r>
    </w:p>
    <w:tbl>
      <w:tblPr>
        <w:tblW w:w="4318" w:type="dxa"/>
        <w:jc w:val="left"/>
        <w:tblInd w:w="0" w:type="dxa"/>
        <w:tblLayout w:type="fixed"/>
        <w:tblCellMar>
          <w:top w:w="28" w:type="dxa"/>
          <w:left w:w="28" w:type="dxa"/>
          <w:bottom w:w="28" w:type="dxa"/>
          <w:right w:w="28" w:type="dxa"/>
        </w:tblCellMar>
      </w:tblPr>
      <w:tblGrid>
        <w:gridCol w:w="889"/>
        <w:gridCol w:w="784"/>
        <w:gridCol w:w="786"/>
        <w:gridCol w:w="360"/>
        <w:gridCol w:w="1234"/>
        <w:gridCol w:w="265"/>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Years ending December 31</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Purchase Commitments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29,629 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74,909 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Legal Proceedings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From time to time, the Company may become subject to legal proceedings, claims and litigation arising in the ordinary course of business. The Company is not currently a party to any material legal proceedings or claims, nor is the Company aware of any other pending or threatened legal proceedings or claims that could reasonably be expected to have a material adverse effect on the Company’s business, operating results, cash flows or financial condition should such legal proceedings or claims be resolved unfavorably.</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Indemnification Obligations</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In the ordinary course of business, the Company often includes standard indemnification provisions in its arrangements with its members,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 the past incurred significant expense defending its licensees against third party claims, nor has it incurred significant expense under its standard service warranties or arrangements with its members, partners, suppliers, and vendors. Accordingly, the Company had no liabilities recorded for these provisions as of </w:t>
      </w:r>
      <w:r>
        <w:rPr>
          <w:rFonts w:ascii="Times New Roman;serif" w:hAnsi="Times New Roman;serif"/>
          <w:b w:val="false"/>
          <w:color w:val="000000"/>
          <w:sz w:val="20"/>
        </w:rPr>
        <w:t xml:space="preserve">December 31, 2025 and </w:t>
      </w:r>
      <w:r>
        <w:rPr>
          <w:rFonts w:ascii="Times New Roman;serif" w:hAnsi="Times New Roman;serif"/>
          <w:b w:val="false"/>
          <w:color w:val="231F20"/>
          <w:sz w:val="20"/>
        </w:rPr>
        <w:t>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9. Undesignated Preferred Stock and Common Stock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Undesignated Preferred Stock </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On March 22, 2024, in connection with the consummation of the IPO, the Company filed an Amended and Restated Certificate of Incorporation with the Secretary of State of the State of Delaware, which authorized 100,000,000 shares of undesignated preferred stock with a par value of $0.0001 per share, with rights and preferences, including voting rights, designated from time to time by the Company’s Board of Directors. As of December 31, 2025 and </w:t>
      </w:r>
      <w:r>
        <w:rPr>
          <w:rFonts w:ascii="Times New Roman;serif" w:hAnsi="Times New Roman;serif"/>
          <w:b w:val="false"/>
          <w:color w:val="231F20"/>
          <w:sz w:val="20"/>
        </w:rPr>
        <w:t>2024</w:t>
      </w:r>
      <w:r>
        <w:rPr>
          <w:rFonts w:ascii="Times New Roman;serif" w:hAnsi="Times New Roman;serif"/>
          <w:b w:val="false"/>
          <w:color w:val="000000"/>
          <w:sz w:val="20"/>
        </w:rPr>
        <w:t>, no undesignated preferred stock has been issued.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On January 22, 2024, the Company filed an Amended and Restated Certificate of Incorporation with the Secretary of State of the State of Delaware, which resulted in an increase to the authorized shares of the Company’s Common Stock from 162,641,331 shares to 163,375,000 shares. On March 22, 2024, in connection with the consummation of the IPO, the Company filed an Amended and Restated Certificate of Incorporation with the Secretary of State of the State of Delaware that resulted in an increase to the authorized shares of the Company’s Common Stock from 163,375,000 shares to 1,000,000,000 shares. As of December 31, 2025 and </w:t>
      </w:r>
      <w:r>
        <w:rPr>
          <w:rFonts w:ascii="Times New Roman;serif" w:hAnsi="Times New Roman;serif"/>
          <w:b w:val="false"/>
          <w:color w:val="231F20"/>
          <w:sz w:val="20"/>
        </w:rPr>
        <w:t>2024</w:t>
      </w:r>
      <w:r>
        <w:rPr>
          <w:rFonts w:ascii="Times New Roman;serif" w:hAnsi="Times New Roman;serif"/>
          <w:b w:val="false"/>
          <w:color w:val="000000"/>
          <w:sz w:val="20"/>
        </w:rPr>
        <w:t>, the Company had authorized 1.0 billion shares of Common Stock with a $0.0001 per share par value. Common stockholders are entitled to one vote for each share 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10. Common Stock Warrants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2022, the Company issued a warrant to Amazon NV Investment Holdings LLC (“Holder”) to purchase an aggregate of up to 1,484,230 shares of Common Stock at an exercise price of $20.34 per share (the “Customer Warrant”). The exercise period of the Customer Warrant is through the seventh anniversary of the issue date. Upon issuance of the Customer Warrant, 14,844 shares issuable underlying the Customer Warrant were immediately vested and exercisable. The remainder of the shares underlying the Customer Warrant may vest and become exercisable over the contract term, contingent upon the achievement of performance conditions, comprised of specified tranches of global payments by the Holder and its affiliates to the Company. </w:t>
      </w:r>
    </w:p>
    <w:p>
      <w:pPr>
        <w:pStyle w:val="TextBody"/>
        <w:bidi w:val="0"/>
        <w:spacing w:lineRule="auto" w:line="288" w:before="120" w:after="120"/>
        <w:ind w:left="0" w:right="0" w:firstLine="450"/>
        <w:jc w:val="both"/>
        <w:rPr/>
      </w:pPr>
      <w:r>
        <w:rPr>
          <w:rFonts w:ascii="Times New Roman;serif" w:hAnsi="Times New Roman;serif"/>
          <w:b w:val="false"/>
          <w:color w:val="000000"/>
          <w:sz w:val="20"/>
        </w:rPr>
        <w:t xml:space="preserve">In October 2023, the Company amended the warrant agreement and issued an additional warrant to the Holder to purchase an aggregate of up to 831,945 shares of Common Stock at an exercise price of $20.34 per share (the “2023 Warrant”, and together with the Customer Warrant, the “Warrants”), with the same exercise period as the Customer Warrant. The 2023 Warrant will vest and become exercisable over the contract term, contingent upon the achievement of performance conditions, comprised of specified tranches of payments by the Holder and its affiliates to the Company. As of December 31, 2025 and </w:t>
      </w:r>
      <w:r>
        <w:rPr>
          <w:rFonts w:ascii="Times New Roman;serif" w:hAnsi="Times New Roman;serif"/>
          <w:b w:val="false"/>
          <w:color w:val="231F20"/>
          <w:sz w:val="20"/>
        </w:rPr>
        <w:t>2024</w:t>
      </w:r>
      <w:r>
        <w:rPr>
          <w:rFonts w:ascii="Times New Roman;serif" w:hAnsi="Times New Roman;serif"/>
          <w:b w:val="false"/>
          <w:color w:val="000000"/>
          <w:sz w:val="20"/>
        </w:rPr>
        <w:t xml:space="preserve">, an aggregate of 1,165,513 shares and 474,029 shares, respectively, underlying the Warrants vested and are exercisable. Additionally, an aggregate of 30,589 and 50,439 shares were probable of vesting as of December 31, 2025 and </w:t>
      </w:r>
      <w:r>
        <w:rPr>
          <w:rFonts w:ascii="Times New Roman;serif" w:hAnsi="Times New Roman;serif"/>
          <w:b w:val="false"/>
          <w:color w:val="231F20"/>
          <w:sz w:val="20"/>
        </w:rPr>
        <w:t>2024</w:t>
      </w:r>
      <w:r>
        <w:rPr>
          <w:rFonts w:ascii="Times New Roman;serif" w:hAnsi="Times New Roman;serif"/>
          <w:b w:val="false"/>
          <w:color w:val="000000"/>
          <w:sz w:val="20"/>
        </w:rPr>
        <w:t>, respectively. As of December 31, 2025, there was no exercise of the Warrants.</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grant date fair values of the Customer Warrant and the 2023 Warrant were determined to be $4.78, and $10.04, per share, respectively, using the Black-Scholes-Merton option pricing model, for maximum total Customer Warrant and 2023 Warrant fair values of $7.1 million and $8.4 million, respectively. The per share grant date fair values of the Customer Warrant and 2023 Warrant were estimated using the following assumptions:</w:t>
      </w:r>
    </w:p>
    <w:tbl>
      <w:tblPr>
        <w:tblW w:w="6334" w:type="dxa"/>
        <w:jc w:val="left"/>
        <w:tblInd w:w="0" w:type="dxa"/>
        <w:tblLayout w:type="fixed"/>
        <w:tblCellMar>
          <w:top w:w="28" w:type="dxa"/>
          <w:left w:w="28" w:type="dxa"/>
          <w:bottom w:w="28" w:type="dxa"/>
          <w:right w:w="28" w:type="dxa"/>
        </w:tblCellMar>
      </w:tblPr>
      <w:tblGrid>
        <w:gridCol w:w="1120"/>
        <w:gridCol w:w="983"/>
        <w:gridCol w:w="986"/>
        <w:gridCol w:w="288"/>
        <w:gridCol w:w="842"/>
        <w:gridCol w:w="370"/>
        <w:gridCol w:w="109"/>
        <w:gridCol w:w="109"/>
        <w:gridCol w:w="109"/>
        <w:gridCol w:w="222"/>
        <w:gridCol w:w="648"/>
        <w:gridCol w:w="285"/>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Customer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 Warrant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Expected dividend yield</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Times New Roman;serif" w:hAnsi="Times New Roman;serif"/>
                <w:b w:val="false"/>
                <w:color w:val="231F20"/>
                <w:sz w:val="20"/>
              </w:rPr>
            </w:pPr>
            <w:r>
              <w:rPr>
                <w:rFonts w:ascii="Times New Roman;serif" w:hAnsi="Times New Roman;serif"/>
                <w:b w:val="false"/>
                <w:color w:val="231F20"/>
                <w:sz w:val="20"/>
              </w:rPr>
              <w:t>Risk-free interest rate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Expected volatility</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Expected term (in years) </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Per share fair value of common stock</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erif" w:hAnsi="Times New Roman;serif"/>
          <w:b w:val="false"/>
          <w:color w:val="000000"/>
          <w:sz w:val="20"/>
        </w:rPr>
        <w:t xml:space="preserve">The Company recognized $5.5 million, $1.4 million and $0.8 million for the years ended December 31, 2025, </w:t>
      </w:r>
      <w:r>
        <w:rPr>
          <w:rFonts w:ascii="Times New Roman;serif" w:hAnsi="Times New Roman;serif"/>
          <w:b w:val="false"/>
          <w:color w:val="231F20"/>
          <w:sz w:val="20"/>
        </w:rPr>
        <w:t>2024 and 2023</w:t>
      </w:r>
      <w:r>
        <w:rPr>
          <w:rFonts w:ascii="Times New Roman;serif" w:hAnsi="Times New Roman;serif"/>
          <w:b w:val="false"/>
          <w:color w:val="000000"/>
          <w:sz w:val="20"/>
        </w:rPr>
        <w:t xml:space="preserve">, respectively, </w:t>
      </w:r>
      <w:r>
        <w:rPr>
          <w:rFonts w:ascii="Times New Roman;serif" w:hAnsi="Times New Roman;serif"/>
          <w:b w:val="false"/>
          <w:color w:val="000000"/>
          <w:sz w:val="20"/>
          <w:shd w:fill="FFFFFF" w:val="clear"/>
        </w:rPr>
        <w:t>as a reduction of revenue in the consolidated statements of opera</w:t>
      </w:r>
      <w:r>
        <w:rPr>
          <w:rFonts w:ascii="Times New Roman;serif" w:hAnsi="Times New Roman;serif"/>
          <w:b w:val="false"/>
          <w:color w:val="000000"/>
          <w:sz w:val="20"/>
        </w:rPr>
        <w:t xml:space="preserve">tions and comprehensive income (loss) related to the Warrants. The remaining grant date fair values of the Warrants that are probable of vesting will be recognized as a reduction of revenue in proportion to the amount of related product sales, which could occur until October 14, 2029.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11. Stock-Based Compensation</w:t>
      </w:r>
    </w:p>
    <w:p>
      <w:pPr>
        <w:pStyle w:val="TextBody"/>
        <w:bidi w:val="0"/>
        <w:spacing w:lineRule="auto" w:line="288" w:before="120" w:after="12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Amended and Restated 2018 Equity Incentive Plan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the Company historically granted stock-based compensation awards under its Amended and restated 2018 Equity Incentive Plan (as amended, “2018 Plan”). The 2018 Plan provided for the grant of incentive and nonqualified stock options and RSUs to qualified employees, nonemployee directors, and consultants. Options granted under the 2018 Plan generally expire within 10 years from the date of grant, vest over four years and are exercisable for shares of the Company’s Common Stock. The RSUs vest upon the satisfaction of both a service condition and a liquidity event condition. The service condition for the RSUs is generally satisfied over a four-year vesting period. The liquidity event vesting condition for the RSUs was satisfied in connection with the IPO.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2018 Plan was terminated in March 2024. Any shares of the Company’s Common Stock that would have otherwise returned to the 2018 Plan as a result of forfeiture, expiration, cancellation, termination or net issuances of awards thereunder, including, for the avoidance of doubt, any shares of Common Stock withheld by the Company to satisfy any tax withholding obligations that arose upon vesting or settlement of awards in connection with the IPO were returned to the share reserve under the 2024 Plan. All future equity grants will be made pursuant to the 2024 Plan.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2024 Stock Option and Incentive Plan </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In March 2024, the Company’s board of directors adopted, and the Company’s stockholders approved, the 2024 Stock Option and Incentive Plan (“2024 Plan”), which became effective on March 19, 2024, immediately prior to the effectiveness of the registration statement on Form S-1 related to the IPO. Under the 2024 Plan, the Company initially reserved 12,362,662 shares of the Common Stock for issuance thereunder. The 2024 Plan provides for annual automatic increases in the number of shares of the Company’s Common Stock reserved thereunder </w:t>
      </w:r>
      <w:r>
        <w:rPr>
          <w:rFonts w:ascii="Times New Roman;serif" w:hAnsi="Times New Roman;serif"/>
          <w:b w:val="false"/>
          <w:color w:val="000000"/>
          <w:sz w:val="20"/>
          <w:shd w:fill="FFFFFF" w:val="clear"/>
        </w:rPr>
        <w:t>on January 1, 2025 and each January 1 thereafter, by up to 5% of the issued and outstanding number of shares of Common Stock on the immediately preceding December 31, or such lesser number of shares as determined by the compensation committee of the Company’s board of directors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16.9 million shares remained available to be issued under the Plan.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2024 Employee Stock Purchase Plan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2024, the Company’s board of directors adopted, and the Company’s stockholders approved, the 2024 Employee Stock Purchase Plan, which became effective on March 19, 2024, immediately prior to the effectiveness of the registration statement on Form S-1 related to the IPO. The Company initially reserved 3,090,666 shares of the Common Stock for future issuance. The number of shares of the Common Stock reserved for issuance will automatically increase on January 1 of each calendar year, beginning on January 1, 2025 through January 1, 2034, by the lesser of (i) 3,090,666 shares of common stock, (ii) 1% of the number of shares of Common Stock issued and outstanding on the immediately preceding December 31st, or (iii) such number of shares of Common Stock as determined by the compensation committee of the Company’s board of directors.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ESPP, participants can purchase the Company’s Common Stock using payroll deductions, which may not exceed 15% of their salary. Participants will be granted the right to purchase shares of Common Stock at a price per share that is equal to 85% of the lesser of (i) the closing price on the first day of the applicable offering under the ESPP or, for the first offering period, the “Price to Public” set forth on the cover page for the Prospectus or (ii) the closing price on the last day of the applicable offering period under the ESPP. No participant has the right to purchase shares of Common Stock in an amount, when aggregated with purchase rights under all of the Company’s employee stock purchase plans that are also in effect in the same calendar year(s), that has a fair market value of more than $25,000, determined as of the first day of the applicable offering period, for each calendar year in which that right is outstanding. In addition, no participant is permitted to purchase more than 3,000 shares during any applicable offering period. As of December 31, 2025, there was 0.2 million shares issued under the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Summary of Employee Stock-Based Compensation Expense</w:t>
      </w:r>
    </w:p>
    <w:p>
      <w:pPr>
        <w:pStyle w:val="TextBody"/>
        <w:bidi w:val="0"/>
        <w:spacing w:lineRule="auto" w:line="288" w:before="12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 summary of stock-based compensation expense recognized in the consolidated statements of operations and comprehensive income (loss) is as follows (in thousands):</w:t>
      </w:r>
    </w:p>
    <w:tbl>
      <w:tblPr>
        <w:tblW w:w="6342" w:type="dxa"/>
        <w:jc w:val="left"/>
        <w:tblInd w:w="0" w:type="dxa"/>
        <w:tblLayout w:type="fixed"/>
        <w:tblCellMar>
          <w:top w:w="28" w:type="dxa"/>
          <w:left w:w="28" w:type="dxa"/>
          <w:bottom w:w="28" w:type="dxa"/>
          <w:right w:w="28" w:type="dxa"/>
        </w:tblCellMar>
      </w:tblPr>
      <w:tblGrid>
        <w:gridCol w:w="835"/>
        <w:gridCol w:w="736"/>
        <w:gridCol w:w="739"/>
        <w:gridCol w:w="211"/>
        <w:gridCol w:w="826"/>
        <w:gridCol w:w="109"/>
        <w:gridCol w:w="109"/>
        <w:gridCol w:w="109"/>
        <w:gridCol w:w="109"/>
        <w:gridCol w:w="211"/>
        <w:gridCol w:w="826"/>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76"/>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Stock Option </w:t>
      </w:r>
    </w:p>
    <w:p>
      <w:pPr>
        <w:pStyle w:val="TextBody"/>
        <w:bidi w:val="0"/>
        <w:spacing w:lineRule="auto" w:line="288" w:before="120" w:after="283"/>
        <w:ind w:left="0" w:right="0" w:firstLine="450"/>
        <w:jc w:val="both"/>
        <w:rPr/>
      </w:pPr>
      <w:r>
        <w:rPr>
          <w:rFonts w:ascii="Times New Roman;serif" w:hAnsi="Times New Roman;serif"/>
          <w:b w:val="false"/>
          <w:color w:val="231F20"/>
          <w:sz w:val="20"/>
        </w:rPr>
        <w:t xml:space="preserve">The estimated grant date fair values of the employee stock options granted during the years ended </w:t>
      </w:r>
      <w:r>
        <w:rPr>
          <w:rFonts w:ascii="Times New Roman;serif" w:hAnsi="Times New Roman;serif"/>
          <w:b w:val="false"/>
          <w:color w:val="000000"/>
          <w:sz w:val="20"/>
        </w:rPr>
        <w:t xml:space="preserve">December 31, </w:t>
      </w:r>
      <w:r>
        <w:rPr>
          <w:rFonts w:ascii="Times New Roman;serif" w:hAnsi="Times New Roman;serif"/>
          <w:b w:val="false"/>
          <w:color w:val="231F20"/>
          <w:sz w:val="20"/>
        </w:rPr>
        <w:t xml:space="preserve">2024 and </w:t>
      </w:r>
      <w:r>
        <w:rPr>
          <w:rFonts w:ascii="Times New Roman;serif" w:hAnsi="Times New Roman;serif"/>
          <w:b w:val="false"/>
          <w:color w:val="000000"/>
          <w:sz w:val="20"/>
        </w:rPr>
        <w:t>2023</w:t>
      </w:r>
      <w:r>
        <w:rPr>
          <w:color w:val="231F20"/>
        </w:rPr>
        <w:t xml:space="preserve"> </w:t>
      </w:r>
      <w:r>
        <w:rPr>
          <w:rFonts w:ascii="Times New Roman;serif" w:hAnsi="Times New Roman;serif"/>
          <w:b w:val="false"/>
          <w:color w:val="231F20"/>
          <w:sz w:val="20"/>
        </w:rPr>
        <w:t>were calculated using the Black-Scholes-Merton Option-pricing model, based on the following minimum and maximum assumptions:</w:t>
      </w:r>
    </w:p>
    <w:tbl>
      <w:tblPr>
        <w:tblW w:w="5136" w:type="dxa"/>
        <w:jc w:val="left"/>
        <w:tblInd w:w="0" w:type="dxa"/>
        <w:tblLayout w:type="fixed"/>
        <w:tblCellMar>
          <w:top w:w="28" w:type="dxa"/>
          <w:left w:w="28" w:type="dxa"/>
          <w:bottom w:w="28" w:type="dxa"/>
          <w:right w:w="28" w:type="dxa"/>
        </w:tblCellMar>
      </w:tblPr>
      <w:tblGrid>
        <w:gridCol w:w="772"/>
        <w:gridCol w:w="678"/>
        <w:gridCol w:w="680"/>
        <w:gridCol w:w="109"/>
        <w:gridCol w:w="109"/>
        <w:gridCol w:w="255"/>
        <w:gridCol w:w="256"/>
        <w:gridCol w:w="421"/>
        <w:gridCol w:w="169"/>
        <w:gridCol w:w="169"/>
        <w:gridCol w:w="169"/>
        <w:gridCol w:w="305"/>
        <w:gridCol w:w="305"/>
        <w:gridCol w:w="739"/>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3.9% - 4.7%</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48.8% - 49.1%</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bl>
    <w:p>
      <w:pPr>
        <w:pStyle w:val="TextBody"/>
        <w:bidi w:val="0"/>
        <w:spacing w:lineRule="auto" w:line="333" w:before="24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 summary of stock option activity under the 2018 Plan and 2024 Plan is as follows (in thousands, except years and per share data):</w:t>
      </w:r>
    </w:p>
    <w:tbl>
      <w:tblPr>
        <w:tblW w:w="10205" w:type="dxa"/>
        <w:jc w:val="left"/>
        <w:tblInd w:w="0" w:type="dxa"/>
        <w:tblLayout w:type="fixed"/>
        <w:tblCellMar>
          <w:top w:w="28" w:type="dxa"/>
          <w:left w:w="28" w:type="dxa"/>
          <w:bottom w:w="28" w:type="dxa"/>
          <w:right w:w="28" w:type="dxa"/>
        </w:tblCellMar>
      </w:tblPr>
      <w:tblGrid>
        <w:gridCol w:w="1303"/>
        <w:gridCol w:w="1144"/>
        <w:gridCol w:w="1147"/>
        <w:gridCol w:w="287"/>
        <w:gridCol w:w="287"/>
        <w:gridCol w:w="289"/>
        <w:gridCol w:w="109"/>
        <w:gridCol w:w="109"/>
        <w:gridCol w:w="109"/>
        <w:gridCol w:w="381"/>
        <w:gridCol w:w="923"/>
        <w:gridCol w:w="197"/>
        <w:gridCol w:w="109"/>
        <w:gridCol w:w="109"/>
        <w:gridCol w:w="109"/>
        <w:gridCol w:w="689"/>
        <w:gridCol w:w="689"/>
        <w:gridCol w:w="691"/>
        <w:gridCol w:w="109"/>
        <w:gridCol w:w="109"/>
        <w:gridCol w:w="109"/>
        <w:gridCol w:w="211"/>
        <w:gridCol w:w="826"/>
        <w:gridCol w:w="160"/>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 xml:space="preserve">Exercise Price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 xml:space="preserve">Remaining 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 xml:space="preserve">Intrinsic </w:t>
              <w:br/>
              <w:t>Value</w:t>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695,689 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450,336 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Vested and expected to vest as of December 31, 2025</w:t>
            </w:r>
          </w:p>
        </w:tc>
        <w:tc>
          <w:tcPr>
            <w:tcW w:w="8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450,336 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Exercisable as of December 31, 2025</w:t>
            </w:r>
          </w:p>
        </w:tc>
        <w:tc>
          <w:tcPr>
            <w:tcW w:w="86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438,676 </w:t>
            </w:r>
          </w:p>
        </w:tc>
        <w:tc>
          <w:tcPr>
            <w:tcW w:w="1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 intrinsic value of a stock option is calculated as the difference between the per share exercise price of the underlying stock option award and the estimated per share fair value of the Company’s common stock at the measurement date. The total intrinsic value of options exercised during the years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 xml:space="preserve">2024, and </w:t>
      </w:r>
      <w:r>
        <w:rPr>
          <w:rFonts w:ascii="Times New Roman;serif" w:hAnsi="Times New Roman;serif"/>
          <w:b w:val="false"/>
          <w:color w:val="000000"/>
          <w:sz w:val="20"/>
        </w:rPr>
        <w:t>2023</w:t>
      </w:r>
      <w:r>
        <w:rPr>
          <w:color w:val="231F20"/>
        </w:rPr>
        <w:t xml:space="preserve"> </w:t>
      </w:r>
      <w:r>
        <w:rPr>
          <w:rFonts w:ascii="Times New Roman;serif" w:hAnsi="Times New Roman;serif"/>
          <w:b w:val="false"/>
          <w:color w:val="231F20"/>
          <w:sz w:val="20"/>
        </w:rPr>
        <w:t>was $370.1 million</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$379.3 million, and $25.8 million, respectively.</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 weighted-average grant date fair value of stock options granted during the years ended </w:t>
      </w:r>
      <w:r>
        <w:rPr>
          <w:rFonts w:ascii="Times New Roman;serif" w:hAnsi="Times New Roman;serif"/>
          <w:b w:val="false"/>
          <w:color w:val="000000"/>
          <w:sz w:val="20"/>
        </w:rPr>
        <w:t xml:space="preserve">December 31, </w:t>
      </w:r>
      <w:r>
        <w:rPr>
          <w:rFonts w:ascii="Times New Roman;serif" w:hAnsi="Times New Roman;serif"/>
          <w:b w:val="false"/>
          <w:color w:val="231F20"/>
          <w:sz w:val="20"/>
        </w:rPr>
        <w:t xml:space="preserve">2024, and </w:t>
      </w:r>
      <w:r>
        <w:rPr>
          <w:rFonts w:ascii="Times New Roman;serif" w:hAnsi="Times New Roman;serif"/>
          <w:b w:val="false"/>
          <w:color w:val="000000"/>
          <w:sz w:val="20"/>
        </w:rPr>
        <w:t xml:space="preserve">2023 </w:t>
      </w:r>
      <w:r>
        <w:rPr>
          <w:rFonts w:ascii="Times New Roman;serif" w:hAnsi="Times New Roman;serif"/>
          <w:b w:val="false"/>
          <w:color w:val="231F20"/>
          <w:sz w:val="20"/>
        </w:rPr>
        <w:t>was</w:t>
      </w:r>
      <w:r>
        <w:rPr>
          <w:color w:val="000000"/>
        </w:rPr>
        <w:t xml:space="preserve"> </w:t>
      </w:r>
      <w:r>
        <w:rPr>
          <w:rFonts w:ascii="Times New Roman;serif" w:hAnsi="Times New Roman;serif"/>
          <w:b w:val="false"/>
          <w:color w:val="231F20"/>
          <w:sz w:val="20"/>
        </w:rPr>
        <w:t>$47.04 and $15.48</w:t>
      </w:r>
      <w:r>
        <w:rPr>
          <w:color w:val="000000"/>
        </w:rPr>
        <w:t xml:space="preserve"> </w:t>
      </w:r>
      <w:r>
        <w:rPr>
          <w:rFonts w:ascii="Times New Roman;serif" w:hAnsi="Times New Roman;serif"/>
          <w:b w:val="false"/>
          <w:color w:val="231F20"/>
          <w:sz w:val="20"/>
        </w:rPr>
        <w:t xml:space="preserve">per share, respectively. </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there was approximately $1.0 million of total unrecognized compensation cost, related to unvested options, which is expected to be recognized over a weighted-average remaining requisite service period of 0.9 years, using the straight-line method.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ESPP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estimated grant date fair values of ESPP shares granted during the years ended December 31, 2025 and 2024 were calculated using the Black-Scholes-Merton Option-pricing model, based on the following minimum and maximum assumptions:</w:t>
      </w:r>
    </w:p>
    <w:tbl>
      <w:tblPr>
        <w:tblW w:w="5604" w:type="dxa"/>
        <w:jc w:val="left"/>
        <w:tblInd w:w="0" w:type="dxa"/>
        <w:tblLayout w:type="fixed"/>
        <w:tblCellMar>
          <w:top w:w="28" w:type="dxa"/>
          <w:left w:w="28" w:type="dxa"/>
          <w:bottom w:w="28" w:type="dxa"/>
          <w:right w:w="28" w:type="dxa"/>
        </w:tblCellMar>
      </w:tblPr>
      <w:tblGrid>
        <w:gridCol w:w="772"/>
        <w:gridCol w:w="678"/>
        <w:gridCol w:w="680"/>
        <w:gridCol w:w="109"/>
        <w:gridCol w:w="109"/>
        <w:gridCol w:w="109"/>
        <w:gridCol w:w="325"/>
        <w:gridCol w:w="325"/>
        <w:gridCol w:w="655"/>
        <w:gridCol w:w="164"/>
        <w:gridCol w:w="164"/>
        <w:gridCol w:w="164"/>
        <w:gridCol w:w="310"/>
        <w:gridCol w:w="310"/>
        <w:gridCol w:w="73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3.8% - 4.3%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4.4% - 5.2%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69.7% - 83.9%</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46.6% - 70.8%</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0.5 - 0.5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0.5 - 0.7</w:t>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During </w:t>
      </w:r>
      <w:r>
        <w:rPr>
          <w:rFonts w:ascii="Times New Roman;serif" w:hAnsi="Times New Roman;serif"/>
          <w:b w:val="false"/>
          <w:color w:val="231F20"/>
          <w:sz w:val="20"/>
        </w:rPr>
        <w:t xml:space="preserve">the year ended </w:t>
      </w:r>
      <w:r>
        <w:rPr>
          <w:rFonts w:ascii="Times New Roman;serif" w:hAnsi="Times New Roman;serif"/>
          <w:b w:val="false"/>
          <w:color w:val="000000"/>
          <w:sz w:val="20"/>
        </w:rPr>
        <w:t xml:space="preserve">December 31, 2025, employees purchased 0.1 million shares of common stock through the ESPP at an average purchase price of $75.63 per share. </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Restricted Stock Units (“RSUs”)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 summary of RSU activity under the 2018 Plan and 2024 Plan is as follows (in thousands, except per share data):</w:t>
      </w:r>
    </w:p>
    <w:tbl>
      <w:tblPr>
        <w:tblW w:w="6476" w:type="dxa"/>
        <w:jc w:val="left"/>
        <w:tblInd w:w="0" w:type="dxa"/>
        <w:tblLayout w:type="fixed"/>
        <w:tblCellMar>
          <w:top w:w="28" w:type="dxa"/>
          <w:left w:w="28" w:type="dxa"/>
          <w:bottom w:w="28" w:type="dxa"/>
          <w:right w:w="28" w:type="dxa"/>
        </w:tblCellMar>
      </w:tblPr>
      <w:tblGrid>
        <w:gridCol w:w="1180"/>
        <w:gridCol w:w="1036"/>
        <w:gridCol w:w="1039"/>
        <w:gridCol w:w="444"/>
        <w:gridCol w:w="444"/>
        <w:gridCol w:w="446"/>
        <w:gridCol w:w="109"/>
        <w:gridCol w:w="109"/>
        <w:gridCol w:w="109"/>
        <w:gridCol w:w="335"/>
        <w:gridCol w:w="979"/>
        <w:gridCol w:w="246"/>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Restricted Stock </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 xml:space="preserve">Grant Date Fair </w:t>
              <w:br/>
              <w:t>Value (per share)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13,620 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(5,572)</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9,354 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51.39 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 aggregate fair values of RSUs that vested and settled during the years ended </w:t>
      </w:r>
      <w:r>
        <w:rPr>
          <w:rFonts w:ascii="Times New Roman;serif" w:hAnsi="Times New Roman;serif"/>
          <w:b w:val="false"/>
          <w:color w:val="000000"/>
          <w:sz w:val="20"/>
        </w:rPr>
        <w:t xml:space="preserve">December 31, 2025 and 2024 </w:t>
      </w:r>
      <w:r>
        <w:rPr>
          <w:rFonts w:ascii="Times New Roman;serif" w:hAnsi="Times New Roman;serif"/>
          <w:b w:val="false"/>
          <w:color w:val="231F20"/>
          <w:sz w:val="20"/>
        </w:rPr>
        <w:t>were $677.5 million and $241.0 million, respectively.</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there was $358.3 million</w:t>
      </w:r>
      <w:r>
        <w:rPr>
          <w:color w:val="000000"/>
        </w:rPr>
        <w:t xml:space="preserve"> </w:t>
      </w:r>
      <w:r>
        <w:rPr>
          <w:rFonts w:ascii="Times New Roman;serif" w:hAnsi="Times New Roman;serif"/>
          <w:b w:val="false"/>
          <w:color w:val="231F20"/>
          <w:sz w:val="20"/>
        </w:rPr>
        <w:t xml:space="preserve">of unrecognized stock-based compensation expense related to unvested RSUs, which is expected to be recognized over a weighted-average period of </w:t>
      </w:r>
      <w:r>
        <w:rPr>
          <w:rFonts w:ascii="Times New Roman;serif" w:hAnsi="Times New Roman;serif"/>
          <w:b w:val="false"/>
          <w:color w:val="000000"/>
          <w:sz w:val="20"/>
        </w:rPr>
        <w:t xml:space="preserve">1.8 </w:t>
      </w:r>
      <w:r>
        <w:rPr>
          <w:rFonts w:ascii="Times New Roman;serif" w:hAnsi="Times New Roman;serif"/>
          <w:b w:val="false"/>
          <w:color w:val="231F20"/>
          <w:sz w:val="20"/>
        </w:rPr>
        <w:t>years.</w:t>
      </w:r>
    </w:p>
    <w:p>
      <w:pPr>
        <w:pStyle w:val="TextBody"/>
        <w:bidi w:val="0"/>
        <w:spacing w:lineRule="auto" w:line="288" w:before="360" w:after="283"/>
        <w:jc w:val="both"/>
        <w:rPr>
          <w:rFonts w:ascii="Times New Roman;serif" w:hAnsi="Times New Roman;serif"/>
          <w:b/>
          <w:color w:val="231F20"/>
          <w:sz w:val="20"/>
        </w:rPr>
      </w:pPr>
      <w:r>
        <w:rPr>
          <w:rFonts w:ascii="Times New Roman;serif" w:hAnsi="Times New Roman;serif"/>
          <w:b/>
          <w:color w:val="231F20"/>
          <w:sz w:val="20"/>
        </w:rPr>
        <w:t>Performance Stock Units (“PSUs”)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PSU activity under the 2024 Plan is as follows (in thousands, except per share data):</w:t>
      </w:r>
    </w:p>
    <w:tbl>
      <w:tblPr>
        <w:tblW w:w="6618" w:type="dxa"/>
        <w:jc w:val="left"/>
        <w:tblInd w:w="0" w:type="dxa"/>
        <w:tblLayout w:type="fixed"/>
        <w:tblCellMar>
          <w:top w:w="28" w:type="dxa"/>
          <w:left w:w="28" w:type="dxa"/>
          <w:bottom w:w="28" w:type="dxa"/>
          <w:right w:w="28" w:type="dxa"/>
        </w:tblCellMar>
      </w:tblPr>
      <w:tblGrid>
        <w:gridCol w:w="1180"/>
        <w:gridCol w:w="1036"/>
        <w:gridCol w:w="1039"/>
        <w:gridCol w:w="499"/>
        <w:gridCol w:w="499"/>
        <w:gridCol w:w="501"/>
        <w:gridCol w:w="109"/>
        <w:gridCol w:w="109"/>
        <w:gridCol w:w="109"/>
        <w:gridCol w:w="258"/>
        <w:gridCol w:w="883"/>
        <w:gridCol w:w="133"/>
        <w:gridCol w:w="109"/>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10101"/>
                <w:sz w:val="16"/>
              </w:rPr>
            </w:pPr>
            <w:r>
              <w:rPr>
                <w:rFonts w:ascii="Times New Roman;serif" w:hAnsi="Times New Roman;serif"/>
                <w:b/>
                <w:color w:val="010101"/>
                <w:sz w:val="16"/>
              </w:rPr>
              <w:t>Number of</w:t>
            </w:r>
          </w:p>
          <w:p>
            <w:pPr>
              <w:pStyle w:val="TableContents"/>
              <w:bidi w:val="0"/>
              <w:spacing w:lineRule="auto" w:line="288" w:before="0" w:after="0"/>
              <w:jc w:val="center"/>
              <w:rPr>
                <w:rFonts w:ascii="Times New Roman;serif" w:hAnsi="Times New Roman;serif"/>
                <w:b/>
                <w:color w:val="010101"/>
                <w:sz w:val="16"/>
              </w:rPr>
            </w:pPr>
            <w:r>
              <w:rPr>
                <w:rFonts w:ascii="Times New Roman;serif" w:hAnsi="Times New Roman;serif"/>
                <w:b/>
                <w:color w:val="010101"/>
                <w:sz w:val="16"/>
              </w:rPr>
              <w:t>Performance Stock</w:t>
            </w:r>
          </w:p>
          <w:p>
            <w:pPr>
              <w:pStyle w:val="TableContents"/>
              <w:bidi w:val="0"/>
              <w:spacing w:lineRule="auto" w:line="288" w:before="0" w:after="0"/>
              <w:jc w:val="center"/>
              <w:rPr>
                <w:rFonts w:ascii="Times New Roman;serif" w:hAnsi="Times New Roman;serif"/>
                <w:b/>
                <w:color w:val="010101"/>
                <w:sz w:val="16"/>
              </w:rPr>
            </w:pPr>
            <w:r>
              <w:rPr>
                <w:rFonts w:ascii="Times New Roman;serif" w:hAnsi="Times New Roman;serif"/>
                <w:b/>
                <w:color w:val="010101"/>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10101"/>
                <w:sz w:val="16"/>
              </w:rPr>
            </w:pPr>
            <w:r>
              <w:rPr>
                <w:rFonts w:ascii="Times New Roman;serif" w:hAnsi="Times New Roman;serif"/>
                <w:b/>
                <w:color w:val="010101"/>
                <w:sz w:val="16"/>
              </w:rPr>
              <w:t>Weighted</w:t>
              <w:br/>
              <w:t>Average Grant</w:t>
              <w:br/>
              <w: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erif" w:hAnsi="Times New Roman;serif"/>
          <w:b w:val="false"/>
          <w:color w:val="231F20"/>
          <w:sz w:val="20"/>
        </w:rPr>
        <w:t xml:space="preserve">The Company granted PSUs that vest on the satisfaction of continuous employment and achievement of certain financial and operational performance goals established by the Compensation Committee of the Company’s Board of Directors. </w:t>
      </w:r>
      <w:r>
        <w:rPr>
          <w:rFonts w:ascii="Times New Roman;serif" w:hAnsi="Times New Roman;serif"/>
          <w:b w:val="false"/>
          <w:color w:val="000000"/>
          <w:sz w:val="20"/>
        </w:rPr>
        <w:t xml:space="preserve">As of December 31, 2025, there was </w:t>
      </w:r>
      <w:r>
        <w:rPr>
          <w:rFonts w:ascii="Times New Roman;serif" w:hAnsi="Times New Roman;serif"/>
          <w:b w:val="false"/>
          <w:color w:val="231F20"/>
          <w:sz w:val="20"/>
        </w:rPr>
        <w:t>$16.1 million</w:t>
      </w:r>
      <w:r>
        <w:rPr>
          <w:color w:val="000000"/>
        </w:rPr>
        <w:t xml:space="preserve"> </w:t>
      </w:r>
      <w:r>
        <w:rPr>
          <w:rFonts w:ascii="Times New Roman;serif" w:hAnsi="Times New Roman;serif"/>
          <w:b w:val="false"/>
          <w:color w:val="000000"/>
          <w:sz w:val="20"/>
        </w:rPr>
        <w:t xml:space="preserve">of unrecognized stock-based compensation expense related to the PSUs, which is expected to be recognized over a weighted-average period of 2.9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12. Net Income (Loss) per Common Share</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following table sets forth the computation of basic and diluted net income (loss) per share attributable to the Company’s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2354"/>
        <w:gridCol w:w="1908"/>
        <w:gridCol w:w="1915"/>
        <w:gridCol w:w="211"/>
        <w:gridCol w:w="826"/>
        <w:gridCol w:w="109"/>
        <w:gridCol w:w="109"/>
        <w:gridCol w:w="109"/>
        <w:gridCol w:w="109"/>
        <w:gridCol w:w="211"/>
        <w:gridCol w:w="770"/>
        <w:gridCol w:w="109"/>
        <w:gridCol w:w="109"/>
        <w:gridCol w:w="109"/>
        <w:gridCol w:w="109"/>
        <w:gridCol w:w="211"/>
        <w:gridCol w:w="770"/>
        <w:gridCol w:w="157"/>
      </w:tblGrid>
      <w:tr>
        <w:trPr/>
        <w:tc>
          <w:tcPr>
            <w:tcW w:w="235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used in net income (loss) per share computations: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(loss) per share attributable to common stockholders, basic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(loss) per share attributable to common stockholders, diluted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per share attributable to common stockholders, basic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Potentially dilutive securities include dilutive common stock from assumed exercise of stock options, RSUs, Warrants, and ESPP shares using the treasury stock method. Under the treasury stock method, potential shares outstanding are not included in the computation of diluted net income per share if their effect is anti-dilutive. Anti-dilutive potential shares are as follows (in thousands):</w:t>
      </w:r>
    </w:p>
    <w:tbl>
      <w:tblPr>
        <w:tblW w:w="6639" w:type="dxa"/>
        <w:jc w:val="left"/>
        <w:tblInd w:w="0" w:type="dxa"/>
        <w:tblLayout w:type="fixed"/>
        <w:tblCellMar>
          <w:top w:w="28" w:type="dxa"/>
          <w:left w:w="28" w:type="dxa"/>
          <w:bottom w:w="28" w:type="dxa"/>
          <w:right w:w="28" w:type="dxa"/>
        </w:tblCellMar>
      </w:tblPr>
      <w:tblGrid>
        <w:gridCol w:w="1209"/>
        <w:gridCol w:w="1066"/>
        <w:gridCol w:w="1070"/>
        <w:gridCol w:w="203"/>
        <w:gridCol w:w="203"/>
        <w:gridCol w:w="156"/>
        <w:gridCol w:w="136"/>
        <w:gridCol w:w="136"/>
        <w:gridCol w:w="136"/>
        <w:gridCol w:w="360"/>
        <w:gridCol w:w="361"/>
        <w:gridCol w:w="156"/>
        <w:gridCol w:w="136"/>
        <w:gridCol w:w="136"/>
        <w:gridCol w:w="136"/>
        <w:gridCol w:w="412"/>
        <w:gridCol w:w="414"/>
        <w:gridCol w:w="213"/>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Unvested RSUs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PSUs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for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 xml:space="preserve">13. Income Taxes </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U.S. and non-U.S. components of income (loss) before income taxes consist of the following (in thousands):</w:t>
      </w:r>
    </w:p>
    <w:tbl>
      <w:tblPr>
        <w:tblW w:w="7017" w:type="dxa"/>
        <w:jc w:val="left"/>
        <w:tblInd w:w="0" w:type="dxa"/>
        <w:tblLayout w:type="fixed"/>
        <w:tblCellMar>
          <w:top w:w="28" w:type="dxa"/>
          <w:left w:w="28" w:type="dxa"/>
          <w:bottom w:w="28" w:type="dxa"/>
          <w:right w:w="28" w:type="dxa"/>
        </w:tblCellMar>
      </w:tblPr>
      <w:tblGrid>
        <w:gridCol w:w="1067"/>
        <w:gridCol w:w="934"/>
        <w:gridCol w:w="939"/>
        <w:gridCol w:w="211"/>
        <w:gridCol w:w="826"/>
        <w:gridCol w:w="109"/>
        <w:gridCol w:w="109"/>
        <w:gridCol w:w="109"/>
        <w:gridCol w:w="109"/>
        <w:gridCol w:w="211"/>
        <w:gridCol w:w="796"/>
        <w:gridCol w:w="109"/>
        <w:gridCol w:w="109"/>
        <w:gridCol w:w="109"/>
        <w:gridCol w:w="109"/>
        <w:gridCol w:w="211"/>
        <w:gridCol w:w="796"/>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incomes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The income tax (benefit) provision consists of the following (in thousands):</w:t>
      </w:r>
    </w:p>
    <w:tbl>
      <w:tblPr>
        <w:tblW w:w="6522" w:type="dxa"/>
        <w:jc w:val="left"/>
        <w:tblInd w:w="0" w:type="dxa"/>
        <w:tblLayout w:type="fixed"/>
        <w:tblCellMar>
          <w:top w:w="28" w:type="dxa"/>
          <w:left w:w="28" w:type="dxa"/>
          <w:bottom w:w="28" w:type="dxa"/>
          <w:right w:w="28" w:type="dxa"/>
        </w:tblCellMar>
      </w:tblPr>
      <w:tblGrid>
        <w:gridCol w:w="1062"/>
        <w:gridCol w:w="934"/>
        <w:gridCol w:w="944"/>
        <w:gridCol w:w="211"/>
        <w:gridCol w:w="691"/>
        <w:gridCol w:w="109"/>
        <w:gridCol w:w="109"/>
        <w:gridCol w:w="109"/>
        <w:gridCol w:w="109"/>
        <w:gridCol w:w="211"/>
        <w:gridCol w:w="616"/>
        <w:gridCol w:w="109"/>
        <w:gridCol w:w="109"/>
        <w:gridCol w:w="109"/>
        <w:gridCol w:w="109"/>
        <w:gridCol w:w="211"/>
        <w:gridCol w:w="61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tax (benefit) expense differs from the U.S. federal statutory tax expenses as follows:</w:t>
      </w:r>
    </w:p>
    <w:tbl>
      <w:tblPr>
        <w:tblW w:w="10205" w:type="dxa"/>
        <w:jc w:val="left"/>
        <w:tblInd w:w="0" w:type="dxa"/>
        <w:tblLayout w:type="fixed"/>
        <w:tblCellMar>
          <w:top w:w="28" w:type="dxa"/>
          <w:left w:w="28" w:type="dxa"/>
          <w:bottom w:w="28" w:type="dxa"/>
          <w:right w:w="28" w:type="dxa"/>
        </w:tblCellMar>
      </w:tblPr>
      <w:tblGrid>
        <w:gridCol w:w="1279"/>
        <w:gridCol w:w="863"/>
        <w:gridCol w:w="867"/>
        <w:gridCol w:w="109"/>
        <w:gridCol w:w="109"/>
        <w:gridCol w:w="109"/>
        <w:gridCol w:w="196"/>
        <w:gridCol w:w="646"/>
        <w:gridCol w:w="109"/>
        <w:gridCol w:w="109"/>
        <w:gridCol w:w="109"/>
        <w:gridCol w:w="109"/>
        <w:gridCol w:w="249"/>
        <w:gridCol w:w="250"/>
        <w:gridCol w:w="256"/>
        <w:gridCol w:w="109"/>
        <w:gridCol w:w="109"/>
        <w:gridCol w:w="109"/>
        <w:gridCol w:w="196"/>
        <w:gridCol w:w="679"/>
        <w:gridCol w:w="109"/>
        <w:gridCol w:w="109"/>
        <w:gridCol w:w="109"/>
        <w:gridCol w:w="109"/>
        <w:gridCol w:w="293"/>
        <w:gridCol w:w="296"/>
        <w:gridCol w:w="256"/>
        <w:gridCol w:w="109"/>
        <w:gridCol w:w="109"/>
        <w:gridCol w:w="109"/>
        <w:gridCol w:w="196"/>
        <w:gridCol w:w="589"/>
        <w:gridCol w:w="109"/>
        <w:gridCol w:w="109"/>
        <w:gridCol w:w="109"/>
        <w:gridCol w:w="109"/>
        <w:gridCol w:w="249"/>
        <w:gridCol w:w="250"/>
        <w:gridCol w:w="306"/>
      </w:tblGrid>
      <w:tr>
        <w:trPr/>
        <w:tc>
          <w:tcPr>
            <w:tcW w:w="127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percentages)</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U.S. federal statutory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Domestic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compensation (stock-based compensation and officer compensation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Excess tax benefits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stock options /ESPP disqualifying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R&amp;D credit add-back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US R&amp;D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Foreign-derived intangible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Effect of changes in tax laws or rates enacted in the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Domestic state and local income taxes, net of federal effect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(Benefit) provision for income taxes/ 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192"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w:t>
      </w:r>
    </w:p>
    <w:p>
      <w:pPr>
        <w:pStyle w:val="TextBody"/>
        <w:bidi w:val="0"/>
        <w:spacing w:lineRule="auto" w:line="192" w:before="60" w:after="283"/>
        <w:jc w:val="left"/>
        <w:rPr>
          <w:rFonts w:ascii="Times New Roman;serif" w:hAnsi="Times New Roman;serif"/>
          <w:b w:val="false"/>
          <w:color w:val="231F20"/>
          <w:sz w:val="20"/>
        </w:rPr>
      </w:pPr>
      <w:r>
        <w:rPr>
          <w:rFonts w:ascii="Times New Roman;serif" w:hAnsi="Times New Roman;serif"/>
          <w:b w:val="false"/>
          <w:color w:val="231F20"/>
          <w:sz w:val="20"/>
        </w:rPr>
        <w:t>(1) State taxes in California comprise the majority of the state and local income taxes, net of federal effect category.</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192"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income taxes paid, net of refunds as follows:</w:t>
      </w:r>
    </w:p>
    <w:tbl>
      <w:tblPr>
        <w:tblW w:w="5216" w:type="dxa"/>
        <w:jc w:val="left"/>
        <w:tblInd w:w="0" w:type="dxa"/>
        <w:tblLayout w:type="fixed"/>
        <w:tblCellMar>
          <w:top w:w="28" w:type="dxa"/>
          <w:left w:w="28" w:type="dxa"/>
          <w:bottom w:w="28" w:type="dxa"/>
          <w:right w:w="28" w:type="dxa"/>
        </w:tblCellMar>
      </w:tblPr>
      <w:tblGrid>
        <w:gridCol w:w="619"/>
        <w:gridCol w:w="544"/>
        <w:gridCol w:w="546"/>
        <w:gridCol w:w="211"/>
        <w:gridCol w:w="616"/>
        <w:gridCol w:w="109"/>
        <w:gridCol w:w="109"/>
        <w:gridCol w:w="109"/>
        <w:gridCol w:w="109"/>
        <w:gridCol w:w="211"/>
        <w:gridCol w:w="616"/>
        <w:gridCol w:w="109"/>
        <w:gridCol w:w="109"/>
        <w:gridCol w:w="109"/>
        <w:gridCol w:w="109"/>
        <w:gridCol w:w="211"/>
        <w:gridCol w:w="61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state and local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60" w:after="283"/>
        <w:jc w:val="left"/>
        <w:rPr>
          <w:rFonts w:ascii="Times New Roman;serif" w:hAnsi="Times New Roman;serif"/>
          <w:b w:val="false"/>
          <w:color w:val="000000"/>
          <w:sz w:val="20"/>
        </w:rPr>
      </w:pPr>
      <w:r>
        <w:rPr>
          <w:rFonts w:ascii="Times New Roman;serif" w:hAnsi="Times New Roman;serif"/>
          <w:b w:val="false"/>
          <w:color w:val="000000"/>
          <w:sz w:val="20"/>
        </w:rPr>
        <w:t>* The amount of income taxes paid during the year does not meet the 5% disaggregation threshold and therefore included in “Other” category.</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Deferred income taxes reflect the net effects of temporary differences between the carrying amounts of assets and liabilities for financial reporting purposes and the amounts used for income tax purposes. The tax effects of the temporary differences and carryforwards that give rise to deferred tax assets and liabilities consist of the following (in thousands):</w:t>
      </w:r>
    </w:p>
    <w:p>
      <w:pPr>
        <w:pStyle w:val="TextBody"/>
        <w:bidi w:val="0"/>
        <w:spacing w:before="120" w:after="283"/>
        <w:ind w:left="0" w:right="0" w:firstLine="450"/>
        <w:jc w:val="both"/>
        <w:rPr/>
      </w:pPr>
      <w:r>
        <w:rPr/>
      </w:r>
    </w:p>
    <w:tbl>
      <w:tblPr>
        <w:tblW w:w="6786" w:type="dxa"/>
        <w:jc w:val="left"/>
        <w:tblInd w:w="0" w:type="dxa"/>
        <w:tblLayout w:type="fixed"/>
        <w:tblCellMar>
          <w:top w:w="28" w:type="dxa"/>
          <w:left w:w="28" w:type="dxa"/>
          <w:bottom w:w="28" w:type="dxa"/>
          <w:right w:w="28" w:type="dxa"/>
        </w:tblCellMar>
      </w:tblPr>
      <w:tblGrid>
        <w:gridCol w:w="1582"/>
        <w:gridCol w:w="1388"/>
        <w:gridCol w:w="1394"/>
        <w:gridCol w:w="211"/>
        <w:gridCol w:w="721"/>
        <w:gridCol w:w="109"/>
        <w:gridCol w:w="109"/>
        <w:gridCol w:w="109"/>
        <w:gridCol w:w="109"/>
        <w:gridCol w:w="229"/>
        <w:gridCol w:w="671"/>
        <w:gridCol w:w="154"/>
      </w:tblGrid>
      <w:tr>
        <w:trPr/>
        <w:tc>
          <w:tcPr>
            <w:tcW w:w="158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business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before valuation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 Section 83(b) elections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after valuation allowance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In determining the need for a valuation allowance, the Company reviewed both positive and negative evidence pursuant to the requirements of ASC 740, Income Taxes, including current and historical results of operations, future income projections, and potential tax planning strategies. A significant piece of objective negative evidence evaluated was the cumulative loss incurred over the 3-year period ended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Such objective evidence limits the ability to consider other subjective evidence such as its projections for future growth. On the basis of this evaluation, as of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a valuation allowance of $270.3 million has been recorded, which reflects an increase in the valuation allowance of $102.0 million for the year ended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As of </w:t>
      </w:r>
      <w:r>
        <w:rPr>
          <w:rFonts w:ascii="Times New Roman;serif" w:hAnsi="Times New Roman;serif"/>
          <w:b w:val="false"/>
          <w:color w:val="000000"/>
          <w:sz w:val="20"/>
        </w:rPr>
        <w:t>December 31, 2024</w:t>
      </w:r>
      <w:r>
        <w:rPr>
          <w:rFonts w:ascii="Times New Roman;serif" w:hAnsi="Times New Roman;serif"/>
          <w:b w:val="false"/>
          <w:color w:val="231F20"/>
          <w:sz w:val="20"/>
        </w:rPr>
        <w:t>, a valuation allowance of $168.3 million</w:t>
      </w:r>
      <w:r>
        <w:rPr>
          <w:color w:val="000000"/>
        </w:rPr>
        <w:t xml:space="preserve"> </w:t>
      </w:r>
      <w:r>
        <w:rPr>
          <w:rFonts w:ascii="Times New Roman;serif" w:hAnsi="Times New Roman;serif"/>
          <w:b w:val="false"/>
          <w:color w:val="000000"/>
          <w:sz w:val="20"/>
        </w:rPr>
        <w:t xml:space="preserve">has been recorded, which reflects an increase in the valuation allowance of </w:t>
      </w:r>
      <w:r>
        <w:rPr>
          <w:rFonts w:ascii="Times New Roman;serif" w:hAnsi="Times New Roman;serif"/>
          <w:b w:val="false"/>
          <w:color w:val="231F20"/>
          <w:sz w:val="20"/>
        </w:rPr>
        <w:t>$129.0 million</w:t>
      </w:r>
      <w:r>
        <w:rPr>
          <w:color w:val="000000"/>
        </w:rPr>
        <w:t xml:space="preserve"> </w:t>
      </w:r>
      <w:r>
        <w:rPr>
          <w:rFonts w:ascii="Times New Roman;serif" w:hAnsi="Times New Roman;serif"/>
          <w:b w:val="false"/>
          <w:color w:val="000000"/>
          <w:sz w:val="20"/>
        </w:rPr>
        <w:t>for the year ended December 31, 2024. The determination of the realizability of deferred tax assets requires significant judgment in assessing if there is sufficient positive evidence to support a conclusion that it is more likely than not the deferred tax assets will be realized. If we continue to achieve positive operating results, we may release the valuation allowance associated with our U.S. deferred tax assets in future periods. A release of all, or a portion, of the valuation allowance would result in the recognition of certain deferred tax assets and may result in a material decrease to income tax expense for the period the release is recorded. </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 xml:space="preserve">December 31, 2025 and </w:t>
      </w:r>
      <w:r>
        <w:rPr>
          <w:rFonts w:ascii="Times New Roman;serif" w:hAnsi="Times New Roman;serif"/>
          <w:b w:val="false"/>
          <w:color w:val="231F20"/>
          <w:sz w:val="20"/>
        </w:rPr>
        <w:t>2024, the Company had gross federal net operating loss carryforwards of approximately $269.6 million and $1.8 million, respectively, which can be carried forward indefinitely, and state net operating loss carryforwards of $19.1 million and $10.4 million, respectively, which begin to expire in 2039. In addition, as of December 31, 2025 and 2024 the Company had federal research credit carryforwards of approximately $109.3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$43.6 million</w:t>
      </w:r>
      <w:r>
        <w:rPr>
          <w:rFonts w:ascii="Times New Roman;serif" w:hAnsi="Times New Roman;serif"/>
          <w:b w:val="false"/>
          <w:color w:val="000000"/>
          <w:sz w:val="20"/>
        </w:rPr>
        <w:t xml:space="preserve">, respectively, which begin to expire in 2039, California research credit carryforwards of </w:t>
      </w:r>
      <w:r>
        <w:rPr>
          <w:rFonts w:ascii="Times New Roman;serif" w:hAnsi="Times New Roman;serif"/>
          <w:b w:val="false"/>
          <w:color w:val="231F20"/>
          <w:sz w:val="20"/>
        </w:rPr>
        <w:t>$68.1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$33.2 million</w:t>
      </w:r>
      <w:r>
        <w:rPr>
          <w:rFonts w:ascii="Times New Roman;serif" w:hAnsi="Times New Roman;serif"/>
          <w:b w:val="false"/>
          <w:color w:val="000000"/>
          <w:sz w:val="20"/>
        </w:rPr>
        <w:t xml:space="preserve">, respectively, which can be carried forward indefinitely, and Canadian research credit carryforwards of </w:t>
      </w:r>
      <w:r>
        <w:rPr>
          <w:rFonts w:ascii="Times New Roman;serif" w:hAnsi="Times New Roman;serif"/>
          <w:b w:val="false"/>
          <w:color w:val="231F20"/>
          <w:sz w:val="20"/>
        </w:rPr>
        <w:t xml:space="preserve">$2.7 million </w:t>
      </w:r>
      <w:r>
        <w:rPr>
          <w:rFonts w:ascii="Times New Roman;serif" w:hAnsi="Times New Roman;serif"/>
          <w:b w:val="false"/>
          <w:color w:val="000000"/>
          <w:sz w:val="20"/>
        </w:rPr>
        <w:t xml:space="preserve">and </w:t>
      </w:r>
      <w:r>
        <w:rPr>
          <w:rFonts w:ascii="Times New Roman;serif" w:hAnsi="Times New Roman;serif"/>
          <w:b w:val="false"/>
          <w:color w:val="231F20"/>
          <w:sz w:val="20"/>
        </w:rPr>
        <w:t>$2.0 million</w:t>
      </w:r>
      <w:r>
        <w:rPr>
          <w:rFonts w:ascii="Times New Roman;serif" w:hAnsi="Times New Roman;serif"/>
          <w:b w:val="false"/>
          <w:color w:val="000000"/>
          <w:sz w:val="20"/>
        </w:rPr>
        <w:t xml:space="preserve">, respectively, which begin to expire in 2042. </w:t>
      </w:r>
      <w:r>
        <w:rPr>
          <w:rFonts w:ascii="Times New Roman;serif" w:hAnsi="Times New Roman;serif"/>
          <w:b w:val="false"/>
          <w:color w:val="231F20"/>
          <w:sz w:val="20"/>
        </w:rPr>
        <w:t xml:space="preserve">Net operating losses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performed a preliminary Section 382 analysis through December 31, 2022 and based on this analysis, approximately $0.2 million of its federal R&amp;D credits will expire unutilized and has therefore removed them from the deferred tax asset and related carryforward disclosures as of </w:t>
      </w:r>
      <w:r>
        <w:rPr>
          <w:rFonts w:ascii="Times New Roman;serif" w:hAnsi="Times New Roman;serif"/>
          <w:b w:val="false"/>
          <w:color w:val="000000"/>
          <w:sz w:val="20"/>
        </w:rPr>
        <w:t>December 31, 2022</w:t>
      </w:r>
      <w:r>
        <w:rPr>
          <w:rFonts w:ascii="Times New Roman;serif" w:hAnsi="Times New Roman;serif"/>
          <w:b w:val="false"/>
          <w:color w:val="231F20"/>
          <w:sz w:val="20"/>
        </w:rPr>
        <w:t xml:space="preserve">. No further Section 382 analysis was performed for </w:t>
      </w:r>
      <w:r>
        <w:rPr>
          <w:rFonts w:ascii="Times New Roman;serif" w:hAnsi="Times New Roman;serif"/>
          <w:b w:val="false"/>
          <w:color w:val="000000"/>
          <w:sz w:val="20"/>
        </w:rPr>
        <w:t>2024</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 xml:space="preserve">2025 </w:t>
      </w:r>
      <w:r>
        <w:rPr>
          <w:rFonts w:ascii="Times New Roman;serif" w:hAnsi="Times New Roman;serif"/>
          <w:b w:val="false"/>
          <w:color w:val="231F20"/>
          <w:sz w:val="20"/>
        </w:rPr>
        <w:t>as the Company does not expect any limitation relating to ownership change due to the increased valuation of the Company.</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tax benefits.” A liability is recognized (or amount of the tax attribute carry forward reduced) for unrecognized tax benefit because it represents an enterprise’s potential future obligation to the taxing authority for a tax position that was not recognized as a result of applying the provisions of ASC 740.</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 Company had approximately $45.9 million and </w:t>
      </w:r>
      <w:r>
        <w:rPr>
          <w:rFonts w:ascii="Times New Roman;serif" w:hAnsi="Times New Roman;serif"/>
          <w:b w:val="false"/>
          <w:color w:val="000000"/>
          <w:sz w:val="20"/>
        </w:rPr>
        <w:t xml:space="preserve">$23.1 million </w:t>
      </w:r>
      <w:r>
        <w:rPr>
          <w:rFonts w:ascii="Times New Roman;serif" w:hAnsi="Times New Roman;serif"/>
          <w:b w:val="false"/>
          <w:color w:val="231F20"/>
          <w:sz w:val="20"/>
        </w:rPr>
        <w:t xml:space="preserve">unrecognized tax benefits as of </w:t>
      </w:r>
      <w:r>
        <w:rPr>
          <w:rFonts w:ascii="Times New Roman;serif" w:hAnsi="Times New Roman;serif"/>
          <w:b w:val="false"/>
          <w:color w:val="000000"/>
          <w:sz w:val="20"/>
        </w:rPr>
        <w:t>December 31, 2025 and 2024, respectively</w:t>
      </w:r>
      <w:r>
        <w:rPr>
          <w:rFonts w:ascii="Times New Roman;serif" w:hAnsi="Times New Roman;serif"/>
          <w:b w:val="false"/>
          <w:color w:val="231F20"/>
          <w:sz w:val="20"/>
        </w:rPr>
        <w:t>. The unrecognized tax benefits, if recognized, would not have an impact on the Company’s effective tax rate due to the valuation allowance position.</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A reconciliation of the beginning and ending amount of the Company’s unrecognized tax benefits is as follows (in thousands):</w:t>
      </w:r>
    </w:p>
    <w:tbl>
      <w:tblPr>
        <w:tblW w:w="7481" w:type="dxa"/>
        <w:jc w:val="left"/>
        <w:tblInd w:w="0" w:type="dxa"/>
        <w:tblLayout w:type="fixed"/>
        <w:tblCellMar>
          <w:top w:w="28" w:type="dxa"/>
          <w:left w:w="28" w:type="dxa"/>
          <w:bottom w:w="28" w:type="dxa"/>
          <w:right w:w="28" w:type="dxa"/>
        </w:tblCellMar>
      </w:tblPr>
      <w:tblGrid>
        <w:gridCol w:w="1362"/>
        <w:gridCol w:w="1199"/>
        <w:gridCol w:w="1203"/>
        <w:gridCol w:w="211"/>
        <w:gridCol w:w="721"/>
        <w:gridCol w:w="109"/>
        <w:gridCol w:w="109"/>
        <w:gridCol w:w="109"/>
        <w:gridCol w:w="109"/>
        <w:gridCol w:w="211"/>
        <w:gridCol w:w="721"/>
        <w:gridCol w:w="109"/>
        <w:gridCol w:w="109"/>
        <w:gridCol w:w="109"/>
        <w:gridCol w:w="109"/>
        <w:gridCol w:w="211"/>
        <w:gridCol w:w="61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prior 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prior 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It is the Company’s policy to include penalties and interest expense related to income taxes as a component of income tax provision. The Company determined that no interest and penalties related to unrecognized tax benefits was required as of December 31, 2025 and </w:t>
      </w:r>
      <w:r>
        <w:rPr>
          <w:rFonts w:ascii="Times New Roman;serif" w:hAnsi="Times New Roman;serif"/>
          <w:b w:val="false"/>
          <w:color w:val="231F20"/>
          <w:sz w:val="20"/>
        </w:rPr>
        <w:t>2024, respectively</w:t>
      </w:r>
      <w:r>
        <w:rPr>
          <w:rFonts w:ascii="Times New Roman;serif" w:hAnsi="Times New Roman;serif"/>
          <w:b w:val="false"/>
          <w:color w:val="000000"/>
          <w:sz w:val="20"/>
        </w:rPr>
        <w:t>.</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is not currently under examination by the United States Internal Revenue Service or any other state, city, local or foreign jurisdiction. The Company’s tax years from inception are subject to examination by the Internal Revenue Service and state taxing authorities.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Deferred income taxes have not been provided for undistributed earnings of the Company’s consolidated foreign subsidiaries because of the Company’s intent to reinvest such earnings indefinitely in active foreign operations. The Company believes that future domestic cash generation will be sufficient to meet future domestic cash needs. The Company has not recorded a deferred tax liability on the undistributed earnings of non-U.S. subsidiaries.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signed into law. The legislation includes a broad range of tax reform provisions affecting businesses including, but not limited to, the reinstatement of 100% bonus depreciation, immediate expensing of domestic R&amp;D costs, and revisions to the U.S. taxation of profits derived from international operations. The legislation has multiple effective dates, with certain provisions effective in 2025 and others implemented through 2027. The Company has assessed the effects of the new tax legislation, including immediate expensing of domestic research and development expenditures for the calendar year, and the results have been reflected in the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450"/>
        <w:jc w:val="both"/>
        <w:rPr>
          <w:rFonts w:ascii="Times New Roman;serif" w:hAnsi="Times New Roman;serif"/>
          <w:b/>
          <w:color w:val="231F20"/>
          <w:sz w:val="20"/>
        </w:rPr>
      </w:pPr>
      <w:r>
        <w:rPr>
          <w:rFonts w:ascii="Times New Roman;serif" w:hAnsi="Times New Roman;serif"/>
          <w:b/>
          <w:color w:val="231F20"/>
          <w:sz w:val="20"/>
        </w:rPr>
        <w:t xml:space="preserve">14.    Subsequent Events </w:t>
      </w:r>
    </w:p>
    <w:p>
      <w:pPr>
        <w:pStyle w:val="TextBody"/>
        <w:bidi w:val="0"/>
        <w:spacing w:lineRule="auto" w:line="288" w:before="240" w:after="283"/>
        <w:ind w:left="0" w:right="0" w:firstLine="450"/>
        <w:jc w:val="both"/>
        <w:rPr/>
      </w:pPr>
      <w:r>
        <w:rPr>
          <w:rFonts w:ascii="Times New Roman;serif" w:hAnsi="Times New Roman;serif"/>
          <w:b w:val="false"/>
          <w:color w:val="231F20"/>
          <w:sz w:val="20"/>
        </w:rPr>
        <w:t xml:space="preserve">The Company has evaluated subsequent events from December 31, 2025, the date of the consolidated financial statements, through </w:t>
      </w:r>
      <w:r>
        <w:rPr>
          <w:rFonts w:ascii="Times New Roman;serif" w:hAnsi="Times New Roman;serif"/>
          <w:b w:val="false"/>
          <w:color w:val="231F20"/>
          <w:sz w:val="20"/>
          <w:shd w:fill="FFFFFF" w:val="clear"/>
        </w:rPr>
        <w:t>February 20, 2026, the dat</w:t>
      </w:r>
      <w:r>
        <w:rPr>
          <w:rFonts w:ascii="Times New Roman;serif" w:hAnsi="Times New Roman;serif"/>
          <w:b w:val="false"/>
          <w:color w:val="231F20"/>
          <w:sz w:val="20"/>
        </w:rPr>
        <w:t>e the consolidated financial statements were issued.</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On February 5, 2026, the Company entered into a Warrant Agreement with Amazon.com NV Investment Holdings LLC, to acquire up to an aggregate of 3,262,299 shares of common stock at an exercise price of $142.82 per share (the “2026 Warrant”). See Note 10 - Common Stock Warrants.</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In February 2026, the Company entered into an agreement with a privately held company to acquire certain tangible assets, including laboratory equipment as well as a non</w:t>
        <w:noBreakHyphen/>
        <w:t>exclusive IP license to all of the acquiree’s intellectual property existing prior to the closing date. The transaction closed in February 2026. The aggregate purchase price is approximately $70 million. In connection with the transaction, certain employees of the acquiree were hired by the Company, which the Company granted RSU awards subsequent to their employment start dates after the close of the transaction. The Company is in the process of evaluating the accounting of this transaction and related impacts on its financial statements.</w:t>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Our disclosure controls and procedures are designed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CEO and CFO, as appropriate, to allow timely decisions regarding required disclosure. Based on such evaluation, our Chief Executive Officer and Chief Financial Officer have concluded that, as of December 31, 2025, our disclosure controls and procedures were effective at a reasonable assurance level.</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Based on our evaluation, our management concluded that our internal control over financial reporting was effective as of December 31, 2025.</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PricewaterhouseCoopers LLP, an independent registered public accounting firm, as stated in its report, which is included herein.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Remediation of Previously Reported Material Weaknesses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previously reported two material weaknesses in our internal control over financial reporting as of December 31, 2024 relating to the following: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did not adequately design and maintain an effective risk assessment process at a sufficient precision level to identify risks of material misstatement in our consolidated financial statements. Specifically, the implementation of controls was not sufficient to respond to risks of a material misstatement to financial reporting, including a lack of effectively designed controls over segregation of duties, particularly over the preparation and review of journal entries and account reconciliations.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did not design and maintain effective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w:t>
      </w:r>
    </w:p>
    <w:p>
      <w:pPr>
        <w:pStyle w:val="TextBody"/>
        <w:bidi w:val="0"/>
        <w:spacing w:before="0" w:after="0"/>
        <w:ind w:left="0" w:right="0" w:firstLine="45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began remediation measures in 2024 and continued to develop and implement additional measures throughout 2025. We have remediated the material weaknesses through the following actions: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engaging with external consultants with extensive Sarbanes-Oxley Act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establishing a qualitative and quantitative risk assessment process;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designing, implementing, and operating controls related to the formalization of our accounting policies and procedures and financial reporting;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hiring additional staff and implementing accounting processes to enhance the segregation of duties of accounting and IT processes responsibilities;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designing, implementing, and operating controls over user access, change management, computer operations, and program development, and of controls over the review of Service Organization Control reports for in-scope SOX applications upon which we rely for internal control over financial reporting;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designing, implementing, and operating controls related to significant accounts and disclosures to achieve complete, accurate and timely financial accounting, reporting and disclosures, including controls over account reconciliations, segregation of duties and the preparation and review of journal entries;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formalizing the assessment of the relevant information and data used in key controls, including a plan to design and implement controls to incorporate the review of the accuracy and completeness of such items;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forming a Disclosure Committee, which has oversight responsibility for the accuracy and timeliness of quarterly disclosures made by us through controls and procedures and the monitoring of their integrity and effectiveness. </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completed the design, testing and evaluation of the internal controls implemented and determined that as of December 31, 2025, the controls were designed, implemented, and were operating effectively for a sufficient period for management to conclude that the material weaknesses have been remediated.</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9B. Other Information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Insider Adoption or Termination of Trading Arrangements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directors or officers (as defined in Rule 16a-1(f) of the Exchange Act) adopted, terminated, or modified the amount, pricing or provisions in a “Rule 10b5-1 trading arrangement” or a “non-Rule 10b5-1 trading agreement” (each as defined in Item 408 of Regulation S-K) during the quarterly period covered by this report as described in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75"/>
        <w:gridCol w:w="417"/>
        <w:gridCol w:w="421"/>
        <w:gridCol w:w="480"/>
        <w:gridCol w:w="385"/>
        <w:gridCol w:w="391"/>
        <w:gridCol w:w="294"/>
        <w:gridCol w:w="294"/>
        <w:gridCol w:w="298"/>
        <w:gridCol w:w="278"/>
        <w:gridCol w:w="278"/>
        <w:gridCol w:w="279"/>
        <w:gridCol w:w="593"/>
        <w:gridCol w:w="540"/>
        <w:gridCol w:w="542"/>
        <w:gridCol w:w="1045"/>
        <w:gridCol w:w="1045"/>
        <w:gridCol w:w="1048"/>
        <w:gridCol w:w="320"/>
        <w:gridCol w:w="320"/>
        <w:gridCol w:w="462"/>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12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Action</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 Adopted</w:t>
            </w:r>
          </w:p>
        </w:tc>
        <w:tc>
          <w:tcPr>
            <w:tcW w:w="167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Character of Trading Arrangement </w:t>
            </w:r>
            <w:r>
              <w:rPr>
                <w:rFonts w:ascii="Times New Roman;serif" w:hAnsi="Times New Roman;serif"/>
                <w:b/>
                <w:color w:val="000000"/>
                <w:sz w:val="10"/>
              </w:rPr>
              <w:t>(1)</w:t>
            </w:r>
          </w:p>
        </w:tc>
        <w:tc>
          <w:tcPr>
            <w:tcW w:w="3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Number of Shares of Common Stock to be Purchased or Sold Pursuant to a Trading Arrangement</w:t>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Expiration Date </w:t>
            </w:r>
            <w:r>
              <w:rPr>
                <w:rFonts w:ascii="Times New Roman;serif" w:hAnsi="Times New Roman;serif"/>
                <w:b/>
                <w:color w:val="000000"/>
                <w:sz w:val="10"/>
              </w:rPr>
              <w:t>(2)</w:t>
            </w:r>
          </w:p>
        </w:tc>
      </w:tr>
      <w:tr>
        <w:trPr/>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Stefan Dyckerhoff</w:t>
            </w:r>
            <w:r>
              <w:rPr>
                <w:rFonts w:ascii="Times New Roman;serif" w:hAnsi="Times New Roman;serif"/>
                <w:b/>
                <w:color w:val="000000"/>
                <w:sz w:val="13"/>
              </w:rPr>
              <w:t>(3)</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12/1/2025</w:t>
            </w:r>
          </w:p>
        </w:tc>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3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150,000</w:t>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2/26/2027</w:t>
            </w:r>
          </w:p>
        </w:tc>
      </w:tr>
      <w:tr>
        <w:trPr/>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Jitendra Mohan</w:t>
            </w:r>
            <w:r>
              <w:rPr>
                <w:rFonts w:ascii="Times New Roman;serif" w:hAnsi="Times New Roman;serif"/>
                <w:b w:val="false"/>
                <w:color w:val="000000"/>
                <w:sz w:val="13"/>
              </w:rPr>
              <w:t>(4)</w:t>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CEO, Director</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12/1/2025</w:t>
            </w:r>
          </w:p>
        </w:tc>
        <w:tc>
          <w:tcPr>
            <w:tcW w:w="1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3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900,000</w:t>
            </w:r>
            <w:r>
              <w:rPr>
                <w:rFonts w:ascii="Times New Roman;serif" w:hAnsi="Times New Roman;serif"/>
                <w:b w:val="false"/>
                <w:color w:val="000000"/>
                <w:sz w:val="13"/>
              </w:rPr>
              <w:t>(5)</w:t>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3/16/2027</w:t>
            </w:r>
          </w:p>
        </w:tc>
      </w:tr>
      <w:tr>
        <w:trPr/>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Sanjay Gajendra</w:t>
            </w:r>
            <w:r>
              <w:rPr>
                <w:rFonts w:ascii="Times New Roman;serif" w:hAnsi="Times New Roman;serif"/>
                <w:b w:val="false"/>
                <w:color w:val="000000"/>
                <w:sz w:val="13"/>
              </w:rPr>
              <w:t>(6)</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COO, Director</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12/2/2025</w:t>
            </w:r>
          </w:p>
        </w:tc>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3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960,000</w:t>
            </w:r>
            <w:r>
              <w:rPr>
                <w:rFonts w:ascii="Times New Roman;serif" w:hAnsi="Times New Roman;serif"/>
                <w:b w:val="false"/>
                <w:color w:val="000000"/>
                <w:sz w:val="13"/>
              </w:rPr>
              <w:t>(5)</w:t>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r>
      <w:tr>
        <w:trPr/>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Jack Lazar</w:t>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12/2/2025</w:t>
            </w:r>
          </w:p>
        </w:tc>
        <w:tc>
          <w:tcPr>
            <w:tcW w:w="1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3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20,000</w:t>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3/3/2027</w:t>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Except as indicated by footnote, each trading arrangement marked as a “Rule 10b5-1 Trading Arrangement” is intended to satisfy the affirmative defense of Rule 10b5-1(c) of the Exchange Act, as amended (the Rule).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Except as indicated by footnote, each trading arrangement permitted or permits transactions through and including the earlier to occur of (a) the completion of sales or (b) the date listed in the table. Each trading arrangement marked as a “Rule 10b5-1 Trading Arrangement” only permits transactions upon expiration of the applicable mandatory cooling-off period under the Rule and is scheduled to terminate on the earlier of the expiration date or when all shares are sold under such plan, subject to early termination for certain specified events set forth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The shares covered by this trading arrangement include certain shares that are held by trusts, limited partnerships and individual retirement accounts and may be deemed to be indirectly beneficially owned by Stefan Dyckerhoff.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shares covered by this trading arrangement include certain shares that are held by trusts and may be deemed to be indirectly beneficially owned by Jitendra Mohan.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shares subject to this trading arrangement also include certain shares subject to time-based RSUs that will be sold to satisfy applicable tax withholding and remittance obligations upon vesting of the RSUs during the applicable period. The total number of such shares that may be sold pursuant to such arrangement is not currently determinable, as the number of shares required to be sold will vary based on, among other things, the market price of our common stock at the time of settlement, the applicable withholding taxes at the time of settlement, and the potential future grant of additional equity awards subject to this arrangement. This trading arrangement, which also applies to RSUs held by the individual, provides for the automatic sale of shares that would otherwise be issuable on each settlement date of a covered RSU in an amount sufficient to satisfy the applicable withholding obligation with the proceeds of the sale delivered to the Company in satisfaction of the applicable withholding obligation, in accordance with the Company’s mandatory sell to cover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 The shares covered by this trading arrangement include certain shares that are held by trusts and may be deemed to be indirectly beneficially owned by Sanjay Gajendra.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 that Prevent Inspections</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relating to our 2026 annual meeting of stockholders, which will be filed within 120 days after the end of the fiscal year to which the Annual Report on Form 10-K relates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 and Management and Related Stockholder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Exhibits, Financial Statement Schedules </w:t>
      </w:r>
    </w:p>
    <w:p>
      <w:pPr>
        <w:pStyle w:val="TextBody"/>
        <w:bidi w:val="0"/>
        <w:spacing w:lineRule="auto" w:line="288" w:before="240" w:after="283"/>
        <w:ind w:left="0" w:right="0" w:hanging="360"/>
        <w:jc w:val="left"/>
        <w:rPr/>
      </w:pPr>
      <w:r>
        <w:rPr>
          <w:rFonts w:ascii="Times New Roman;serif" w:hAnsi="Times New Roman;serif"/>
          <w:b w:val="false"/>
          <w:color w:val="000000"/>
          <w:sz w:val="20"/>
        </w:rPr>
        <w:t>(a)</w:t>
      </w:r>
      <w:r>
        <w:rPr>
          <w:rFonts w:ascii="Times New Roman;serif" w:hAnsi="Times New Roman;serif"/>
          <w:b w:val="false"/>
          <w:color w:val="231F20"/>
          <w:sz w:val="20"/>
        </w:rPr>
        <w:t xml:space="preserve">Financial Statements and Schedules </w:t>
      </w:r>
    </w:p>
    <w:p>
      <w:pPr>
        <w:pStyle w:val="TextBody"/>
        <w:bidi w:val="0"/>
        <w:spacing w:lineRule="auto" w:line="288" w:before="240" w:after="283"/>
        <w:jc w:val="both"/>
        <w:rPr>
          <w:rFonts w:ascii="Times New Roman;serif" w:hAnsi="Times New Roman;serif"/>
          <w:b w:val="false"/>
          <w:i/>
          <w:color w:val="231F20"/>
          <w:sz w:val="20"/>
        </w:rPr>
      </w:pPr>
      <w:r>
        <w:rPr>
          <w:rFonts w:ascii="Times New Roman;serif" w:hAnsi="Times New Roman;serif"/>
          <w:b w:val="false"/>
          <w:i/>
          <w:color w:val="231F20"/>
          <w:sz w:val="20"/>
        </w:rPr>
        <w:t>1.Consolidated Financial Statements:</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The financial statements required by this item are listed under Part II, Item 8, “Financial Statements and Supplementary Data” in this Annual Report on Form 10-K.</w:t>
      </w:r>
    </w:p>
    <w:p>
      <w:pPr>
        <w:pStyle w:val="TextBody"/>
        <w:bidi w:val="0"/>
        <w:spacing w:lineRule="auto" w:line="288" w:before="240" w:after="283"/>
        <w:jc w:val="both"/>
        <w:rPr>
          <w:rFonts w:ascii="Times New Roman;serif" w:hAnsi="Times New Roman;serif"/>
          <w:b w:val="false"/>
          <w:i/>
          <w:color w:val="231F20"/>
          <w:sz w:val="20"/>
        </w:rPr>
      </w:pPr>
      <w:r>
        <w:rPr>
          <w:rFonts w:ascii="Times New Roman;serif" w:hAnsi="Times New Roman;serif"/>
          <w:b w:val="false"/>
          <w:i/>
          <w:color w:val="231F20"/>
          <w:sz w:val="20"/>
        </w:rPr>
        <w:t>2.Financial Statement Schedules:</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All financial statement schedules have been omitted because they are not applicable or required, or the information required to be set forth therein is included in our consolidated financial statements or the notes thereto.</w:t>
      </w:r>
    </w:p>
    <w:p>
      <w:pPr>
        <w:pStyle w:val="TextBody"/>
        <w:bidi w:val="0"/>
        <w:spacing w:lineRule="auto" w:line="288" w:before="240" w:after="283"/>
        <w:jc w:val="both"/>
        <w:rPr>
          <w:rFonts w:ascii="Times New Roman;serif" w:hAnsi="Times New Roman;serif"/>
          <w:b w:val="false"/>
          <w:i/>
          <w:color w:val="231F20"/>
          <w:sz w:val="20"/>
        </w:rPr>
      </w:pPr>
      <w:r>
        <w:rPr>
          <w:rFonts w:ascii="Times New Roman;serif" w:hAnsi="Times New Roman;serif"/>
          <w:b w:val="false"/>
          <w:i/>
          <w:color w:val="231F20"/>
          <w:sz w:val="20"/>
        </w:rPr>
        <w:t>3.     Exhibits.</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The following is a list of exhibits filed as part of this Annual Report on Form 10-K.</w:t>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EXHIBIT INDEX</w:t>
      </w:r>
    </w:p>
    <w:tbl>
      <w:tblPr>
        <w:tblW w:w="10205" w:type="dxa"/>
        <w:jc w:val="left"/>
        <w:tblInd w:w="0" w:type="dxa"/>
        <w:tblLayout w:type="fixed"/>
        <w:tblCellMar>
          <w:top w:w="28" w:type="dxa"/>
          <w:left w:w="28" w:type="dxa"/>
          <w:bottom w:w="28" w:type="dxa"/>
          <w:right w:w="28" w:type="dxa"/>
        </w:tblCellMar>
      </w:tblPr>
      <w:tblGrid>
        <w:gridCol w:w="308"/>
        <w:gridCol w:w="272"/>
        <w:gridCol w:w="273"/>
        <w:gridCol w:w="109"/>
        <w:gridCol w:w="109"/>
        <w:gridCol w:w="109"/>
        <w:gridCol w:w="1307"/>
        <w:gridCol w:w="1163"/>
        <w:gridCol w:w="1175"/>
        <w:gridCol w:w="109"/>
        <w:gridCol w:w="109"/>
        <w:gridCol w:w="109"/>
        <w:gridCol w:w="174"/>
        <w:gridCol w:w="174"/>
        <w:gridCol w:w="176"/>
        <w:gridCol w:w="109"/>
        <w:gridCol w:w="109"/>
        <w:gridCol w:w="109"/>
        <w:gridCol w:w="311"/>
        <w:gridCol w:w="311"/>
        <w:gridCol w:w="315"/>
        <w:gridCol w:w="109"/>
        <w:gridCol w:w="109"/>
        <w:gridCol w:w="109"/>
        <w:gridCol w:w="235"/>
        <w:gridCol w:w="235"/>
        <w:gridCol w:w="237"/>
        <w:gridCol w:w="109"/>
        <w:gridCol w:w="109"/>
        <w:gridCol w:w="109"/>
        <w:gridCol w:w="212"/>
        <w:gridCol w:w="212"/>
        <w:gridCol w:w="213"/>
        <w:gridCol w:w="109"/>
        <w:gridCol w:w="109"/>
        <w:gridCol w:w="109"/>
        <w:gridCol w:w="272"/>
        <w:gridCol w:w="272"/>
        <w:gridCol w:w="396"/>
      </w:tblGrid>
      <w:tr>
        <w:trPr/>
        <w:tc>
          <w:tcPr>
            <w:tcW w:w="3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3"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Filed Herewith</w:t>
            </w:r>
          </w:p>
        </w:tc>
      </w:tr>
      <w:tr>
        <w:trPr/>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Certificate of Incorporation of Astera Labs,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001-1736297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Second Amended and Restated Bylaws of Astera Labs,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001-1736297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Amended and Restated Investors’ Rights Agreement by and among the Registrant and the investors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Form of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Amended and Restated 2018 Equity Incentive Plan, as amended, and forms of award agreements and sub-plans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2024 Stock Option and Incentive Plan, and forms of award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2024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Change of Control Severance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Senior Executive Cash Incentive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Offer Letter by and between the Registrant and Jitendra Mohan, dated March 13,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Offer Letter by and between the Registrant and Sanjay Gajendra, dated March 13,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Executive Employment Agreement by and between the Registrant and Michael Tate, dated July 21,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3"/>
        <w:gridCol w:w="195"/>
        <w:gridCol w:w="109"/>
        <w:gridCol w:w="109"/>
        <w:gridCol w:w="109"/>
        <w:gridCol w:w="2368"/>
        <w:gridCol w:w="1301"/>
        <w:gridCol w:w="1305"/>
        <w:gridCol w:w="109"/>
        <w:gridCol w:w="109"/>
        <w:gridCol w:w="109"/>
        <w:gridCol w:w="160"/>
        <w:gridCol w:w="115"/>
        <w:gridCol w:w="115"/>
        <w:gridCol w:w="109"/>
        <w:gridCol w:w="109"/>
        <w:gridCol w:w="109"/>
        <w:gridCol w:w="254"/>
        <w:gridCol w:w="254"/>
        <w:gridCol w:w="255"/>
        <w:gridCol w:w="109"/>
        <w:gridCol w:w="109"/>
        <w:gridCol w:w="109"/>
        <w:gridCol w:w="190"/>
        <w:gridCol w:w="190"/>
        <w:gridCol w:w="191"/>
        <w:gridCol w:w="109"/>
        <w:gridCol w:w="109"/>
        <w:gridCol w:w="109"/>
        <w:gridCol w:w="186"/>
        <w:gridCol w:w="186"/>
        <w:gridCol w:w="187"/>
        <w:gridCol w:w="109"/>
        <w:gridCol w:w="109"/>
        <w:gridCol w:w="109"/>
        <w:gridCol w:w="109"/>
        <w:gridCol w:w="109"/>
        <w:gridCol w:w="160"/>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Offer Letter by and between the Registrant and Philip Mazzara, dated February 7,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Warrant Agreement with Silicon Valley Bank, dated April 30,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Warrant Agreement with Amazon.com NV Investment Holdings, LLC, dated October 14, 2022, as amended by Amendment No. 1 to Warrant Agreement, signed October 31,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Lease Agreement by and between the Registrant and Marriott Plaza Associates LP, dated February 21, 2020, as amended by the First Amendment to Lease Agreement, dated June 15, 2021, as further amended by the Second Amendment to Lease Agreement, dated March 20, 2022, the Third Amendment to Lease Agreement, dated January 30, 2023, the Fourth Amendment to Lease Agreement, dated December 16, 2023, and the Fifth Amendment to Lease Agreement, dated February 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333-277205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Lease Agreement by and between the Registrant and SI 37, LLC, dated December 16,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5.htm">
              <w:r>
                <w:rPr>
                  <w:rStyle w:val="InternetLink"/>
                  <w:rFonts w:ascii="Times New Roman;serif" w:hAnsi="Times New Roman;serif"/>
                  <w:b w:val="false"/>
                  <w:color w:val="0000FF"/>
                  <w:sz w:val="20"/>
                  <w:u w:val="single"/>
                </w:rPr>
                <w:t>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001-41979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htm">
              <w:r>
                <w:rPr>
                  <w:rStyle w:val="InternetLink"/>
                  <w:rFonts w:ascii="Times New Roman;serif" w:hAnsi="Times New Roman;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htm">
              <w:r>
                <w:rPr>
                  <w:rStyle w:val="InternetLink"/>
                  <w:rFonts w:ascii="Times New Roman;serif" w:hAnsi="Times New Roman;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6bcd3d8d9d49aca718c5fba2770a17_262">
              <w:r>
                <w:rPr>
                  <w:rStyle w:val="InternetLink"/>
                  <w:rFonts w:ascii="Times New Roman;serif" w:hAnsi="Times New Roman;serif"/>
                  <w:b w:val="false"/>
                  <w:color w:val="0000FF"/>
                  <w:sz w:val="20"/>
                  <w:u w:val="single"/>
                </w:rPr>
                <w:t>Power of Attorney (incorporated by reference to the signature page of this Annual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25exhibit311.htm">
              <w:r>
                <w:rPr>
                  <w:rStyle w:val="InternetLink"/>
                  <w:rFonts w:ascii="Times New Roman;serif" w:hAnsi="Times New Roman;serif"/>
                  <w:b w:val="false"/>
                  <w:color w:val="0000FF"/>
                  <w:sz w:val="20"/>
                  <w:u w:val="single"/>
                </w:rPr>
                <w:t>Certification of Principal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25exhibit312.htm">
              <w:r>
                <w:rPr>
                  <w:rStyle w:val="InternetLink"/>
                  <w:rFonts w:ascii="Times New Roman;serif" w:hAnsi="Times New Roman;serif"/>
                  <w:b w:val="false"/>
                  <w:color w:val="0000FF"/>
                  <w:sz w:val="20"/>
                  <w:u w:val="single"/>
                </w:rPr>
                <w:t>Certification of Principal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25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25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71.htm">
              <w:r>
                <w:rPr>
                  <w:rStyle w:val="InternetLink"/>
                  <w:rFonts w:ascii="Times New Roman;serif" w:hAnsi="Times New Roman;serif"/>
                  <w:b w:val="false"/>
                  <w:color w:val="0000FF"/>
                  <w:sz w:val="20"/>
                  <w:u w:val="single"/>
                </w:rPr>
                <w:t>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1"/>
        <w:gridCol w:w="237"/>
        <w:gridCol w:w="240"/>
        <w:gridCol w:w="109"/>
        <w:gridCol w:w="109"/>
        <w:gridCol w:w="109"/>
        <w:gridCol w:w="1948"/>
        <w:gridCol w:w="1930"/>
        <w:gridCol w:w="193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450"/>
        <w:jc w:val="both"/>
        <w:rPr/>
      </w:pP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shd w:fill="FFFFFF" w:val="clear"/>
        </w:rPr>
        <w:t>The certifications attached as Exhibits 32.1 and 32.2 that accompany this Annual Report on Form 10-K are deemed “furnished” and not “filed” for purposes of Section 18 of the Exchange Act. Such certifications will not be deemed to be incorporated by reference into any filings under the Securities Act or the Exchange Act, except to the extent specifically incorporated by reference into such filing.</w:t>
      </w:r>
    </w:p>
    <w:p>
      <w:pPr>
        <w:pStyle w:val="TextBody"/>
        <w:bidi w:val="0"/>
        <w:spacing w:lineRule="auto" w:line="288" w:before="0" w:after="0"/>
        <w:ind w:left="0" w:right="0" w:hanging="450"/>
        <w:jc w:val="both"/>
        <w:rPr/>
      </w:pPr>
      <w:r>
        <w:rPr>
          <w:rFonts w:ascii="Times New Roman;serif" w:hAnsi="Times New Roman;serif"/>
          <w:b w:val="false"/>
          <w:color w:val="000000"/>
          <w:sz w:val="20"/>
        </w:rPr>
        <w:t>#</w:t>
      </w:r>
      <w:r>
        <w:rPr>
          <w:rFonts w:ascii="Times New Roman;serif" w:hAnsi="Times New Roman;serif"/>
          <w:b w:val="false"/>
          <w:color w:val="231F20"/>
          <w:sz w:val="20"/>
        </w:rPr>
        <w:t>Indicates management contract or compensatory plan, contract or agreement.</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231F20"/>
          <w:sz w:val="20"/>
        </w:rPr>
        <w:t>Certain confidential information contained in this exhibit has been omitted because it is both (i) not material and (ii) is the type that the Registrant treats as private or confidential.</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12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Section 13 or 15(d) of the Securities Exchange Act of 1934, the Registrant has duly caused this Report to be signed on its behalf by the undersigned, thereunto duly authorized.</w:t>
      </w:r>
    </w:p>
    <w:tbl>
      <w:tblPr>
        <w:tblW w:w="5051" w:type="dxa"/>
        <w:jc w:val="left"/>
        <w:tblInd w:w="0" w:type="dxa"/>
        <w:tblLayout w:type="fixed"/>
        <w:tblCellMar>
          <w:top w:w="28" w:type="dxa"/>
          <w:left w:w="28" w:type="dxa"/>
          <w:bottom w:w="28" w:type="dxa"/>
          <w:right w:w="28" w:type="dxa"/>
        </w:tblCellMar>
      </w:tblPr>
      <w:tblGrid>
        <w:gridCol w:w="754"/>
        <w:gridCol w:w="664"/>
        <w:gridCol w:w="667"/>
        <w:gridCol w:w="299"/>
        <w:gridCol w:w="299"/>
        <w:gridCol w:w="299"/>
        <w:gridCol w:w="604"/>
        <w:gridCol w:w="604"/>
        <w:gridCol w:w="86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231F20"/>
                <w:sz w:val="20"/>
              </w:rPr>
            </w:pPr>
            <w:r>
              <w:rPr>
                <w:rFonts w:ascii="Times New Roman;serif" w:hAnsi="Times New Roman;serif"/>
                <w:b/>
                <w:color w:val="231F20"/>
                <w:sz w:val="20"/>
              </w:rPr>
              <w:t>ASTERA LABS,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Date: February 20, 2026</w:t>
            </w:r>
          </w:p>
        </w:tc>
        <w:tc>
          <w:tcPr>
            <w:tcW w:w="897" w:type="dxa"/>
            <w:gridSpan w:val="3"/>
            <w:tcBorders/>
            <w:tcMar>
              <w:top w:w="0" w:type="dxa"/>
              <w:left w:w="0" w:type="dxa"/>
              <w:bottom w:w="0" w:type="dxa"/>
              <w:right w:w="0" w:type="dxa"/>
            </w:tcMar>
            <w:vAlign w:val="center"/>
          </w:tcPr>
          <w:p>
            <w:pPr>
              <w:pStyle w:val="TableContents"/>
              <w:bidi w:val="0"/>
              <w:spacing w:lineRule="auto" w:line="295" w:before="0" w:after="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Jitendra Mohan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95"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Name: </w:t>
            </w:r>
          </w:p>
        </w:tc>
        <w:tc>
          <w:tcPr>
            <w:tcW w:w="2069" w:type="dxa"/>
            <w:gridSpan w:val="3"/>
            <w:tcBorders/>
            <w:tcMar>
              <w:top w:w="0" w:type="dxa"/>
              <w:left w:w="0" w:type="dxa"/>
              <w:bottom w:w="0" w:type="dxa"/>
              <w:right w:w="0" w:type="dxa"/>
            </w:tcMar>
            <w:vAlign w:val="center"/>
          </w:tcPr>
          <w:p>
            <w:pPr>
              <w:pStyle w:val="TableContents"/>
              <w:bidi w:val="0"/>
              <w:spacing w:lineRule="auto" w:line="295" w:before="0" w:after="0"/>
              <w:jc w:val="left"/>
              <w:rPr>
                <w:rFonts w:ascii="Times New Roman;serif" w:hAnsi="Times New Roman;serif"/>
                <w:b w:val="false"/>
                <w:color w:val="231F20"/>
                <w:sz w:val="20"/>
              </w:rPr>
            </w:pPr>
            <w:r>
              <w:rPr>
                <w:rFonts w:ascii="Times New Roman;serif" w:hAnsi="Times New Roman;serif"/>
                <w:b w:val="false"/>
                <w:color w:val="231F20"/>
                <w:sz w:val="20"/>
              </w:rPr>
              <w:t>Jitendra Mohan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187"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Title: </w:t>
            </w:r>
          </w:p>
        </w:tc>
        <w:tc>
          <w:tcPr>
            <w:tcW w:w="2069" w:type="dxa"/>
            <w:gridSpan w:val="3"/>
            <w:tcBorders/>
            <w:tcMar>
              <w:top w:w="0" w:type="dxa"/>
              <w:left w:w="0" w:type="dxa"/>
              <w:bottom w:w="0" w:type="dxa"/>
              <w:right w:w="0" w:type="dxa"/>
            </w:tcMar>
            <w:vAlign w:val="center"/>
          </w:tcPr>
          <w:p>
            <w:pPr>
              <w:pStyle w:val="TableContents"/>
              <w:bidi w:val="0"/>
              <w:spacing w:lineRule="auto" w:line="187" w:before="0" w:after="0"/>
              <w:jc w:val="left"/>
              <w:rPr>
                <w:rFonts w:ascii="Times New Roman;serif" w:hAnsi="Times New Roman;serif"/>
                <w:b w:val="false"/>
                <w:color w:val="231F20"/>
                <w:sz w:val="20"/>
              </w:rPr>
            </w:pPr>
            <w:r>
              <w:rPr>
                <w:rFonts w:ascii="Times New Roman;serif" w:hAnsi="Times New Roman;serif"/>
                <w:b w:val="false"/>
                <w:color w:val="231F2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Date: February 20, 2026</w:t>
            </w:r>
          </w:p>
        </w:tc>
        <w:tc>
          <w:tcPr>
            <w:tcW w:w="897" w:type="dxa"/>
            <w:gridSpan w:val="3"/>
            <w:tcBorders/>
            <w:tcMar>
              <w:top w:w="0" w:type="dxa"/>
              <w:left w:w="0" w:type="dxa"/>
              <w:bottom w:w="0" w:type="dxa"/>
              <w:right w:w="0" w:type="dxa"/>
            </w:tcMar>
            <w:vAlign w:val="center"/>
          </w:tcPr>
          <w:p>
            <w:pPr>
              <w:pStyle w:val="TableContents"/>
              <w:bidi w:val="0"/>
              <w:spacing w:lineRule="auto" w:line="295" w:before="0" w:after="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Michael Tate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95"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Name: </w:t>
            </w:r>
          </w:p>
        </w:tc>
        <w:tc>
          <w:tcPr>
            <w:tcW w:w="2069" w:type="dxa"/>
            <w:gridSpan w:val="3"/>
            <w:tcBorders/>
            <w:tcMar>
              <w:top w:w="0" w:type="dxa"/>
              <w:left w:w="0" w:type="dxa"/>
              <w:bottom w:w="0" w:type="dxa"/>
              <w:right w:w="0" w:type="dxa"/>
            </w:tcMar>
            <w:vAlign w:val="center"/>
          </w:tcPr>
          <w:p>
            <w:pPr>
              <w:pStyle w:val="TableContents"/>
              <w:bidi w:val="0"/>
              <w:spacing w:lineRule="auto" w:line="295" w:before="0" w:after="283"/>
              <w:jc w:val="left"/>
              <w:rPr>
                <w:rFonts w:ascii="Times New Roman;serif" w:hAnsi="Times New Roman;serif"/>
                <w:b w:val="false"/>
                <w:color w:val="231F20"/>
                <w:sz w:val="20"/>
              </w:rPr>
            </w:pPr>
            <w:r>
              <w:rPr>
                <w:rFonts w:ascii="Times New Roman;serif" w:hAnsi="Times New Roman;serif"/>
                <w:b w:val="false"/>
                <w:color w:val="231F20"/>
                <w:sz w:val="20"/>
              </w:rPr>
              <w:t>Michael Tate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187"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Title: </w:t>
            </w:r>
          </w:p>
        </w:tc>
        <w:tc>
          <w:tcPr>
            <w:tcW w:w="2069" w:type="dxa"/>
            <w:gridSpan w:val="3"/>
            <w:tcBorders/>
            <w:tcMar>
              <w:top w:w="0" w:type="dxa"/>
              <w:left w:w="0" w:type="dxa"/>
              <w:bottom w:w="0" w:type="dxa"/>
              <w:right w:w="0" w:type="dxa"/>
            </w:tcMar>
            <w:vAlign w:val="center"/>
          </w:tcPr>
          <w:p>
            <w:pPr>
              <w:pStyle w:val="TableContents"/>
              <w:bidi w:val="0"/>
              <w:spacing w:lineRule="auto" w:line="187" w:before="0" w:after="0"/>
              <w:jc w:val="left"/>
              <w:rPr>
                <w:rFonts w:ascii="Times New Roman;serif" w:hAnsi="Times New Roman;serif"/>
                <w:b w:val="false"/>
                <w:color w:val="231F20"/>
                <w:sz w:val="20"/>
              </w:rPr>
            </w:pPr>
            <w:r>
              <w:rPr>
                <w:rFonts w:ascii="Times New Roman;serif" w:hAnsi="Times New Roman;serif"/>
                <w:b w:val="false"/>
                <w:color w:val="231F2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66bcd3d8d9d49aca718c5fba2770a17_7">
        <w:r>
          <w:rPr>
            <w:rStyle w:val="InternetLink"/>
            <w:rFonts w:ascii="Times New Roman;serif" w:hAnsi="Times New Roman;serif"/>
            <w:b w:val="false"/>
            <w:color w:val="0000FF"/>
            <w:sz w:val="20"/>
            <w:u w:val="single"/>
          </w:rPr>
          <w:t>Table of Contents</w:t>
        </w:r>
      </w:hyperlink>
    </w:p>
    <w:p>
      <w:pPr>
        <w:pStyle w:val="TextBody"/>
        <w:bidi w:val="0"/>
        <w:spacing w:lineRule="auto" w:line="288" w:before="500" w:after="283"/>
        <w:jc w:val="center"/>
        <w:rPr>
          <w:rFonts w:ascii="Times New Roman;serif" w:hAnsi="Times New Roman;serif"/>
          <w:b/>
          <w:color w:val="231F20"/>
          <w:sz w:val="20"/>
        </w:rPr>
      </w:pPr>
      <w:r>
        <w:rPr>
          <w:rFonts w:ascii="Times New Roman;serif" w:hAnsi="Times New Roman;serif"/>
          <w:b/>
          <w:color w:val="231F20"/>
          <w:sz w:val="20"/>
        </w:rPr>
        <w:t>POWER OF ATTORNEY</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KNOW ALL PERSONS BY THESE PRESENTS, that each person whose signature appears below constitutes and appoints Jitendra Mohan and Michael Tate, and each of them individually, as his or her attorney-in-fact, each with the full power of substitution, for him or her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lineRule="auto" w:line="288" w:before="240" w:after="283"/>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this Annual Report on Form 10-K has been signed below by the following persons on behalf of the Registrant and in the capacities and on the dates indicated.</w:t>
      </w:r>
    </w:p>
    <w:tbl>
      <w:tblPr>
        <w:tblW w:w="9083" w:type="dxa"/>
        <w:jc w:val="left"/>
        <w:tblInd w:w="0" w:type="dxa"/>
        <w:tblLayout w:type="fixed"/>
        <w:tblCellMar>
          <w:top w:w="28" w:type="dxa"/>
          <w:left w:w="28" w:type="dxa"/>
          <w:bottom w:w="28" w:type="dxa"/>
          <w:right w:w="28" w:type="dxa"/>
        </w:tblCellMar>
      </w:tblPr>
      <w:tblGrid>
        <w:gridCol w:w="646"/>
        <w:gridCol w:w="568"/>
        <w:gridCol w:w="570"/>
        <w:gridCol w:w="109"/>
        <w:gridCol w:w="109"/>
        <w:gridCol w:w="109"/>
        <w:gridCol w:w="1664"/>
        <w:gridCol w:w="1664"/>
        <w:gridCol w:w="1682"/>
        <w:gridCol w:w="109"/>
        <w:gridCol w:w="109"/>
        <w:gridCol w:w="109"/>
        <w:gridCol w:w="477"/>
        <w:gridCol w:w="477"/>
        <w:gridCol w:w="681"/>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/s/Jitendra Mohan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Jitendra Mohan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/s/Michael 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Germaine Cota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Vice President, Finance and Accounting </w:t>
            </w:r>
          </w:p>
          <w:p>
            <w:pPr>
              <w:pStyle w:val="TableContents"/>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Germaine Cota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/s/Manuel Alba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Manuel Alba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Craig Barratt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Craig Barratt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/s/Stefan Dyckerhoff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Stefan Dyckerhoff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/s/Sanjay Gajendra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President, Chief Operating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Sanjay Gajendra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/s/Michael Hurlston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Hurlston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Bethany Mayer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Bethany Mayer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10.15</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ASTERA LABS, INC.</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AMENDED AND RESTATED NON-EMPLOYEE DIRECTOR COMPENSATION POLICY</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4"/>
        </w:rPr>
        <w:t>(approved on October 24, 2025)</w:t>
      </w:r>
      <w:r>
        <w:rPr>
          <w:color w:val="000000"/>
        </w:rPr>
        <w:t xml:space="preserve"> </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4"/>
        </w:rPr>
        <w:t xml:space="preserve">The purpose of this Non-Employee Director Compensation Policy (the “Policy”) of Astera Labs, Inc. (the “Company”) is to provide a total compensation package that enables the Company to attract and retain, on a long-term basis, high-caliber directors who are not employees or officers of the Company or its subsidiaries (“Non-Employee Directors”). </w:t>
      </w:r>
      <w:r>
        <w:rPr>
          <w:rFonts w:ascii="Times New Roman;serif" w:hAnsi="Times New Roman;serif"/>
          <w:b w:val="false"/>
          <w:color w:val="000000"/>
          <w:sz w:val="23"/>
        </w:rPr>
        <w:t>This Policy will be effective on and after January 1, 2026 (the “Effective Date”).</w:t>
      </w:r>
      <w:r>
        <w:rPr>
          <w:color w:val="000000"/>
        </w:rPr>
        <w:t xml:space="preserve"> </w:t>
      </w:r>
      <w:r>
        <w:rPr>
          <w:rFonts w:ascii="Times New Roman;serif" w:hAnsi="Times New Roman;serif"/>
          <w:b w:val="false"/>
          <w:color w:val="000000"/>
          <w:sz w:val="24"/>
        </w:rPr>
        <w:t>In furtherance of the purpose stated above, all Non-Employee Directors shall be paid compensation for services provided to the Company as Non-Employee Directors as set forth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Cash Retainers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u w:val="single"/>
        </w:rPr>
        <w:t>Annual Retainer for Board Membership</w:t>
      </w:r>
      <w:r>
        <w:rPr>
          <w:rFonts w:ascii="Times New Roman;serif" w:hAnsi="Times New Roman;serif"/>
          <w:b w:val="false"/>
          <w:color w:val="000000"/>
          <w:sz w:val="24"/>
        </w:rPr>
        <w:t>: $70,000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pStyle w:val="TextBody"/>
        <w:bidi w:val="0"/>
        <w:spacing w:before="0" w:after="0"/>
        <w:jc w:val="left"/>
        <w:rPr/>
      </w:pPr>
      <w:r>
        <w:rPr/>
      </w:r>
    </w:p>
    <w:tbl>
      <w:tblPr>
        <w:tblW w:w="7442" w:type="dxa"/>
        <w:jc w:val="left"/>
        <w:tblInd w:w="0" w:type="dxa"/>
        <w:tblLayout w:type="fixed"/>
        <w:tblCellMar>
          <w:top w:w="28" w:type="dxa"/>
          <w:left w:w="28" w:type="dxa"/>
          <w:bottom w:w="28" w:type="dxa"/>
          <w:right w:w="28" w:type="dxa"/>
        </w:tblCellMar>
      </w:tblPr>
      <w:tblGrid>
        <w:gridCol w:w="2139"/>
        <w:gridCol w:w="1881"/>
        <w:gridCol w:w="1889"/>
        <w:gridCol w:w="109"/>
        <w:gridCol w:w="109"/>
        <w:gridCol w:w="109"/>
        <w:gridCol w:w="226"/>
        <w:gridCol w:w="826"/>
        <w:gridCol w:w="154"/>
      </w:tblGrid>
      <w:tr>
        <w:trPr/>
        <w:tc>
          <w:tcPr>
            <w:tcW w:w="2139"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68" w:before="0" w:after="160"/>
              <w:jc w:val="both"/>
              <w:rPr/>
            </w:pPr>
            <w:r>
              <w:rPr>
                <w:rFonts w:ascii="Times New Roman;serif" w:hAnsi="Times New Roman;serif"/>
                <w:b w:val="false"/>
                <w:color w:val="000000"/>
                <w:sz w:val="24"/>
                <w:u w:val="single"/>
              </w:rPr>
              <w:t>Additional Annual Retainer for Non-Executive Chair</w:t>
            </w: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68" w:before="0" w:after="160"/>
              <w:jc w:val="left"/>
              <w:rPr/>
            </w:pPr>
            <w:r>
              <w:rPr>
                <w:rFonts w:ascii="Times New Roman;serif" w:hAnsi="Times New Roman;serif"/>
                <w:b w:val="false"/>
                <w:color w:val="000000"/>
                <w:sz w:val="24"/>
                <w:u w:val="single"/>
              </w:rPr>
              <w:t>Additional Annual Retainers for Committee Membership</w:t>
            </w: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Audit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Audit Committee member: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Compensation Committee Chair: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Compensation Committee member: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4"/>
              </w:rPr>
            </w:pPr>
            <w:r>
              <w:rPr>
                <w:rFonts w:ascii="Times New Roman;serif" w:hAnsi="Times New Roman;serif"/>
                <w:b w:val="false"/>
                <w:color w:val="000000"/>
                <w:sz w:val="24"/>
              </w:rPr>
              <w:t>Nominating and Corporate Governance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68" w:before="0" w:after="160"/>
              <w:jc w:val="left"/>
              <w:rPr/>
            </w:pPr>
            <w:r>
              <w:rPr>
                <w:rFonts w:ascii="Times New Roman;serif" w:hAnsi="Times New Roman;serif"/>
                <w:b w:val="false"/>
                <w:color w:val="000000"/>
                <w:sz w:val="24"/>
              </w:rPr>
              <w:t>Nominating and Corporate Governance Committee member</w:t>
            </w:r>
            <w:r>
              <w:rPr>
                <w:rFonts w:ascii="Times New Roman;serif" w:hAnsi="Times New Roman;serif"/>
                <w:b w:val="false"/>
                <w:color w:val="000000"/>
                <w:sz w:val="22"/>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180"/>
        <w:jc w:val="left"/>
        <w:rPr>
          <w:rFonts w:ascii="Times New Roman;serif" w:hAnsi="Times New Roman;serif"/>
          <w:b w:val="false"/>
          <w:color w:val="000000"/>
          <w:sz w:val="24"/>
        </w:rPr>
      </w:pPr>
      <w:r>
        <w:rPr>
          <w:rFonts w:ascii="Times New Roman;serif" w:hAnsi="Times New Roman;serif"/>
          <w:b w:val="false"/>
          <w:color w:val="000000"/>
          <w:sz w:val="24"/>
        </w:rPr>
        <w:t>Chair and committee member retainers are in addition to retainers for members of the Board of Directors. No additional compensation will be paid for attending individual committee meetings of the Board of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Equity Retainers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All grants of equity retainer awards to Non-Employee Directors pursuant to this Policy will be approved by the Compensation Committee of the Board in accordance with the following provisions: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Initial Award</w:t>
      </w:r>
      <w:r>
        <w:rPr>
          <w:rFonts w:ascii="Times New Roman;serif" w:hAnsi="Times New Roman;serif"/>
          <w:b w:val="false"/>
          <w:color w:val="000000"/>
          <w:sz w:val="24"/>
        </w:rPr>
        <w:t>: Upon his or her initial election to the Board of Directors, each Non-Employee Director will receive an initial, one-time restricted stock unit award (the “Initial Award”) with a Value (as defined below) of $365,000, which shall vest in equal annual installments over three years from the date of grant, provided, however, that all vesting shall cease if the director ceases to provide services to the Company, unless the Board of Directors determines that the circumstances warrant continuation of vesting. This Initial Award applies only to Non-Employee Directors who are first elected to the Board of Directors subsequent to the Effective Date.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Annual Award</w:t>
      </w:r>
      <w:r>
        <w:rPr>
          <w:rFonts w:ascii="Times New Roman;serif" w:hAnsi="Times New Roman;serif"/>
          <w:b w:val="false"/>
          <w:color w:val="000000"/>
          <w:sz w:val="24"/>
        </w:rPr>
        <w:t>: On each date of each Annual Meeting of Stockholders of the Company following the Effective Date (the “Annual Meeting”), each continuing Non-Employee Director, other than a director receiving an Initial Award, will receive an annual restricted stock unit award (the “Annual Award”) with a Value of $210,000, which shall vest in full upon the earlier of (i) the first anniversary of the date of grant or (ii) the date of the next Annual Meeting; provided, however, that all vesting shall cease if the director ceases to provide services to the Company, unless the Board of Directors determines that the circumstances warrant continuation of vesting.</w:t>
      </w:r>
    </w:p>
    <w:p>
      <w:pPr>
        <w:pStyle w:val="TextBody"/>
        <w:bidi w:val="0"/>
        <w:spacing w:before="0" w:after="0"/>
        <w:ind w:left="0" w:right="0" w:firstLine="18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Value</w:t>
      </w:r>
      <w:r>
        <w:rPr>
          <w:rFonts w:ascii="Times New Roman;serif" w:hAnsi="Times New Roman;serif"/>
          <w:b w:val="false"/>
          <w:color w:val="000000"/>
          <w:sz w:val="24"/>
        </w:rPr>
        <w:t xml:space="preserve">: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either, (1) for Initial Awards, the average closing market price on the Nasdaq Global Market (or such other market on which the Company’s common stock is then principally listed) of one share of the Company’s common stock over the calendar month period immediately preceding the month of the commencement of the director’s service with the Company, or (2) for Annual Awards, the average closing market price on the Nasdaq Global Market (or such other market on which the Company’s common stock is then principally listed) of one share of the Company’s common stock during the calendar month period immediately preceding the month of the grant date and (B) the aggregate number of shares of common stock underlying such award. </w:t>
      </w:r>
    </w:p>
    <w:p>
      <w:pPr>
        <w:pStyle w:val="TextBody"/>
        <w:bidi w:val="0"/>
        <w:spacing w:before="0" w:after="0"/>
        <w:ind w:left="0" w:right="0" w:firstLine="180"/>
        <w:jc w:val="left"/>
        <w:rPr/>
      </w:pPr>
      <w:r>
        <w:rPr/>
      </w:r>
    </w:p>
    <w:p>
      <w:pPr>
        <w:pStyle w:val="TextBody"/>
        <w:bidi w:val="0"/>
        <w:spacing w:lineRule="auto" w:line="268" w:before="0" w:after="0"/>
        <w:jc w:val="left"/>
        <w:rPr/>
      </w:pPr>
      <w:r>
        <w:rPr>
          <w:rFonts w:ascii="Times New Roman;serif" w:hAnsi="Times New Roman;serif"/>
          <w:b w:val="false"/>
          <w:color w:val="000000"/>
          <w:sz w:val="24"/>
          <w:u w:val="single"/>
        </w:rPr>
        <w:t>Sale Event Acceleration</w:t>
      </w:r>
      <w:r>
        <w:rPr>
          <w:rFonts w:ascii="Times New Roman;serif" w:hAnsi="Times New Roman;serif"/>
          <w:b w:val="false"/>
          <w:color w:val="000000"/>
          <w:sz w:val="24"/>
        </w:rPr>
        <w:t>: All outstanding Initial Awards and Annual Awards held by an Non-Employee Director shall become fully vested and nonforfeitable upon a Sale Event (as defined in the Company’s 2024 Stock Option and Incentive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Expenses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will reimburse all reasonable out-of-pocket expenses incurred by Non-Employee Directors in attending meetings of the Board of Directors or any committee thereof.</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Maximum Annual Compensation</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The aggregate amount of compensation, including both equity compensation and cash compensation, paid by the Company to any Non-Employee Director in a calendar year for services as an Non-Employee Director shall not exceed $750,000; provided, however, that such amount shall be $1,000,000 for the calendar year in which the applicable Non-Employee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Director is initially elected or appointed to the Board of Directors; (or such other limits as may be set forth in Section 3(b) of the Company’s 2024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pStyle w:val="TextBody"/>
        <w:bidi w:val="0"/>
        <w:spacing w:before="0" w:after="0"/>
        <w:jc w:val="both"/>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Adopted: February 16, 2024, as amended October 24, 2025 (effective as of January 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Exhibits 21.1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737" w:type="dxa"/>
        <w:jc w:val="left"/>
        <w:tblInd w:w="0" w:type="dxa"/>
        <w:tblLayout w:type="fixed"/>
        <w:tblCellMar>
          <w:top w:w="28" w:type="dxa"/>
          <w:left w:w="28" w:type="dxa"/>
          <w:bottom w:w="28" w:type="dxa"/>
          <w:right w:w="28" w:type="dxa"/>
        </w:tblCellMar>
      </w:tblPr>
      <w:tblGrid>
        <w:gridCol w:w="248"/>
        <w:gridCol w:w="218"/>
        <w:gridCol w:w="218"/>
        <w:gridCol w:w="218"/>
        <w:gridCol w:w="218"/>
        <w:gridCol w:w="218"/>
        <w:gridCol w:w="218"/>
        <w:gridCol w:w="218"/>
        <w:gridCol w:w="218"/>
        <w:gridCol w:w="218"/>
        <w:gridCol w:w="218"/>
        <w:gridCol w:w="309"/>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737" w:type="dxa"/>
            <w:gridSpan w:val="12"/>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Subsidiaries of the Registrant*</w:t>
            </w:r>
          </w:p>
        </w:tc>
      </w:tr>
    </w:tbl>
    <w:p>
      <w:pPr>
        <w:pStyle w:val="TextBody"/>
        <w:bidi w:val="0"/>
        <w:spacing w:lineRule="auto" w:line="300"/>
        <w:jc w:val="left"/>
        <w:rPr>
          <w:rFonts w:ascii="Times New Roman;serif" w:hAnsi="Times New Roman;serif"/>
          <w:b w:val="false"/>
          <w:color w:val="000000"/>
          <w:sz w:val="20"/>
        </w:rPr>
      </w:pPr>
      <w:r>
        <w:rPr>
          <w:rFonts w:ascii="Times New Roman;serif" w:hAnsi="Times New Roman;serif"/>
          <w:b w:val="false"/>
          <w:color w:val="000000"/>
          <w:sz w:val="20"/>
        </w:rPr>
        <w:t>*Pursuant to Item 601(b)(21)(ii) of Regulation S-K, the Company has omitted the names of subsidiaries, which considered in the aggregate as a single subsidiary, would not constitute a “significant subsidiary” (as defined under Rule 1-02(w) of Regulation S-X) as of December 31,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Georgia;serif" w:hAnsi="Georgia;serif"/>
          <w:b w:val="false"/>
          <w:color w:val="000000"/>
          <w:sz w:val="20"/>
        </w:rPr>
      </w:pPr>
      <w:r>
        <w:rPr>
          <w:rFonts w:ascii="Georgia;serif" w:hAnsi="Georgia;serif"/>
          <w:b w:val="false"/>
          <w:color w:val="000000"/>
          <w:sz w:val="20"/>
        </w:rPr>
        <w:t>Exhibit 23.1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2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120"/>
        <w:jc w:val="left"/>
        <w:rPr>
          <w:rFonts w:ascii="Georgia;serif" w:hAnsi="Georgia;serif"/>
          <w:b w:val="false"/>
          <w:color w:val="000000"/>
          <w:sz w:val="20"/>
        </w:rPr>
      </w:pPr>
      <w:r>
        <w:rPr>
          <w:rFonts w:ascii="Georgia;serif" w:hAnsi="Georgia;serif"/>
          <w:b w:val="false"/>
          <w:color w:val="000000"/>
          <w:sz w:val="20"/>
        </w:rPr>
        <w:t xml:space="preserve">We hereby consent to the incorporation by reference in the Registration Statements on Form S-8 (Nos. 333-278078, 333-279234, and 333-288144) of Astera Labs, Inc. of our report dated February 20, 2026 relating to the financial statements and the effectiveness of internal control over financial reporting, which appears in this Form 10-K. </w:t>
      </w:r>
    </w:p>
    <w:p>
      <w:pPr>
        <w:pStyle w:val="TextBody"/>
        <w:bidi w:val="0"/>
        <w:spacing w:before="0" w:after="120"/>
        <w:jc w:val="left"/>
        <w:rPr/>
      </w:pPr>
      <w:r>
        <w:rPr/>
      </w:r>
    </w:p>
    <w:p>
      <w:pPr>
        <w:pStyle w:val="TextBody"/>
        <w:bidi w:val="0"/>
        <w:spacing w:lineRule="auto" w:line="288" w:before="240" w:after="283"/>
        <w:jc w:val="left"/>
        <w:rPr/>
      </w:pPr>
      <w:r>
        <w:rPr>
          <w:rFonts w:ascii="Georgia;serif" w:hAnsi="Georgia;serif"/>
          <w:b w:val="false"/>
          <w:color w:val="000000"/>
          <w:sz w:val="20"/>
        </w:rPr>
        <w:t>/s/ PricewaterhouseCoopers LLP</w:t>
        <w:br/>
        <w:t>Phoenix, Arizona</w:t>
      </w:r>
      <w:r>
        <w:rPr>
          <w:rFonts w:ascii="Georgia;serif" w:hAnsi="Georgia;serif"/>
          <w:b/>
          <w:color w:val="FF0000"/>
          <w:sz w:val="20"/>
        </w:rPr>
        <w:br/>
      </w:r>
      <w:r>
        <w:rPr>
          <w:rFonts w:ascii="Georgia;serif" w:hAnsi="Georgia;serif"/>
          <w:b w:val="false"/>
          <w:color w:val="000000"/>
          <w:sz w:val="20"/>
        </w:rPr>
        <w:t>February 20,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Jitendra Mohan,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10-K of Astera Labs,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pPr>
      <w:r>
        <w:rPr>
          <w:rFonts w:ascii="Times New Roman;serif" w:hAnsi="Times New Roman;serif"/>
          <w:b w:val="false"/>
          <w:color w:val="000000"/>
          <w:sz w:val="20"/>
        </w:rPr>
        <w:t>(b) (</w:t>
      </w:r>
      <w:r>
        <w:rPr>
          <w:rFonts w:ascii="Times New Roman;serif" w:hAnsi="Times New Roman;serif"/>
          <w:b w:val="false"/>
          <w:color w:val="000000"/>
          <w:sz w:val="20"/>
          <w:shd w:fill="FFFFFF" w:val="clear"/>
        </w:rPr>
        <w:t>Paragraph omitted in accordance with Exchange Act Rule 13a-14(a));</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841"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109"/>
        <w:gridCol w:w="109"/>
        <w:gridCol w:w="109"/>
        <w:gridCol w:w="208"/>
        <w:gridCol w:w="208"/>
        <w:gridCol w:w="213"/>
        <w:gridCol w:w="670"/>
        <w:gridCol w:w="670"/>
        <w:gridCol w:w="672"/>
        <w:gridCol w:w="135"/>
        <w:gridCol w:w="135"/>
        <w:gridCol w:w="1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Jitendra Mohan</w:t>
            </w:r>
          </w:p>
        </w:tc>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Jitendra Mohan</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Michael Tate,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10-K of Astera Labs,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pPr>
      <w:r>
        <w:rPr>
          <w:rFonts w:ascii="Times New Roman;serif" w:hAnsi="Times New Roman;serif"/>
          <w:b w:val="false"/>
          <w:color w:val="000000"/>
          <w:sz w:val="20"/>
        </w:rPr>
        <w:t>(b) (</w:t>
      </w:r>
      <w:r>
        <w:rPr>
          <w:rFonts w:ascii="Times New Roman;serif" w:hAnsi="Times New Roman;serif"/>
          <w:b w:val="false"/>
          <w:color w:val="000000"/>
          <w:sz w:val="20"/>
          <w:shd w:fill="FFFFFF" w:val="clear"/>
        </w:rPr>
        <w:t>Paragraph omitted in accordance with Exchange Act Rule 13a-14(a));</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132"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109"/>
        <w:gridCol w:w="109"/>
        <w:gridCol w:w="109"/>
        <w:gridCol w:w="208"/>
        <w:gridCol w:w="208"/>
        <w:gridCol w:w="213"/>
        <w:gridCol w:w="994"/>
        <w:gridCol w:w="994"/>
        <w:gridCol w:w="1000"/>
        <w:gridCol w:w="227"/>
        <w:gridCol w:w="227"/>
        <w:gridCol w:w="3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Tate</w:t>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Tate</w:t>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Astera Labs, Inc. (the “Company”) for the year ended December 31, 2025 as filed with the Securities and Exchange Commission on the date hereof (the “Report”), I, Jitendra Mohan, Chief Executive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both"/>
        <w:rPr/>
      </w:pPr>
      <w:r>
        <w:rPr/>
      </w:r>
    </w:p>
    <w:tbl>
      <w:tblPr>
        <w:tblW w:w="5510" w:type="dxa"/>
        <w:jc w:val="left"/>
        <w:tblInd w:w="0" w:type="dxa"/>
        <w:tblLayout w:type="fixed"/>
        <w:tblCellMar>
          <w:top w:w="28" w:type="dxa"/>
          <w:left w:w="28" w:type="dxa"/>
          <w:bottom w:w="28" w:type="dxa"/>
          <w:right w:w="28" w:type="dxa"/>
        </w:tblCellMar>
      </w:tblPr>
      <w:tblGrid>
        <w:gridCol w:w="386"/>
        <w:gridCol w:w="339"/>
        <w:gridCol w:w="339"/>
        <w:gridCol w:w="339"/>
        <w:gridCol w:w="339"/>
        <w:gridCol w:w="339"/>
        <w:gridCol w:w="109"/>
        <w:gridCol w:w="109"/>
        <w:gridCol w:w="109"/>
        <w:gridCol w:w="208"/>
        <w:gridCol w:w="208"/>
        <w:gridCol w:w="213"/>
        <w:gridCol w:w="670"/>
        <w:gridCol w:w="670"/>
        <w:gridCol w:w="672"/>
        <w:gridCol w:w="135"/>
        <w:gridCol w:w="135"/>
        <w:gridCol w:w="191"/>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Jitendra Mohan</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Jitendra Mohan</w:t>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Astera Labs, Inc. (the “Company”) for the year ended December 31, 2025 as filed with the Securities and Exchange Commission on the date hereof (the “Report”), I, Michael Tate, Chief Financial Officer of the Company,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803" w:type="dxa"/>
        <w:jc w:val="left"/>
        <w:tblInd w:w="0" w:type="dxa"/>
        <w:tblLayout w:type="fixed"/>
        <w:tblCellMar>
          <w:top w:w="28" w:type="dxa"/>
          <w:left w:w="28" w:type="dxa"/>
          <w:bottom w:w="28" w:type="dxa"/>
          <w:right w:w="28" w:type="dxa"/>
        </w:tblCellMar>
      </w:tblPr>
      <w:tblGrid>
        <w:gridCol w:w="259"/>
        <w:gridCol w:w="228"/>
        <w:gridCol w:w="228"/>
        <w:gridCol w:w="228"/>
        <w:gridCol w:w="228"/>
        <w:gridCol w:w="228"/>
        <w:gridCol w:w="228"/>
        <w:gridCol w:w="228"/>
        <w:gridCol w:w="228"/>
        <w:gridCol w:w="109"/>
        <w:gridCol w:w="109"/>
        <w:gridCol w:w="109"/>
        <w:gridCol w:w="208"/>
        <w:gridCol w:w="208"/>
        <w:gridCol w:w="213"/>
        <w:gridCol w:w="994"/>
        <w:gridCol w:w="994"/>
        <w:gridCol w:w="1000"/>
        <w:gridCol w:w="227"/>
        <w:gridCol w:w="227"/>
        <w:gridCol w:w="322"/>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0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Tate</w:t>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Tate</w:t>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97.1</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ASTERA LABS, INC.</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COMPENSATION RECOVERY POLICY</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Adopted: February 16, 2024</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Effective: March 19, 2024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Astera Labs, Inc., a Delaware corporation (the “Company”), has adopted a Compensation Recovery Policy (this “Policy”) as described below.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1. Overview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Stock Market. Capitalized terms used and not otherwise defined herein shall have the meanings given in Section 3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2. Compensation Recovery Requirement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the event the Company is required to prepare a Financial Restatement, the Company shall recover reasonably promptly all Erroneously Awarded Compensation with respect to such Financial Restatement.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3. Definitions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“Applicable Rules” means any rules or regulations adopted by the Exchange pursuant to Rule 10D-1 under the Exchange Act and any applicable rules or regulations adopted by the SEC pursuant to Section 10D of the Exchange Act.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     “Board” means the Board of Directors of the Company.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    “Committee” means the Compensation Committee of the Board or, in the absence of such committee, a majority of independent directors serving on the Board.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e.     “Covered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77290"/>
                <wp:effectExtent l="0" t="0" r="0" b="0"/>
                <wp:wrapNone/>
                <wp:docPr id="107" name="Frame106"/>
                <a:graphic xmlns:a="http://schemas.openxmlformats.org/drawingml/2006/main">
                  <a:graphicData uri="http://schemas.microsoft.com/office/word/2010/wordprocessingShape">
                    <wps:wsp>
                      <wps:cNvSpPr txBox="1"/>
                      <wps:spPr>
                        <a:xfrm>
                          <a:off x="0" y="0"/>
                          <a:ext cx="6480175" cy="11772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97.1</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f.    “Effective Date” means March 19, 2024.</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g.     “Erroneously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h.     “Exchange” means the Nasdaq Stock Market LLC.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    An “Executive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j.    “Financial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k.     “Incentive-Based Compensation” means any compensation provided, directly or indirectly, by the Company or any of its subsidiaries that is granted, earned or vested based, in whole or in part, upon the attainment of a Financial Reporting Measure. For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77290"/>
                <wp:effectExtent l="0" t="0" r="0" b="0"/>
                <wp:wrapNone/>
                <wp:docPr id="108" name="Frame107"/>
                <a:graphic xmlns:a="http://schemas.openxmlformats.org/drawingml/2006/main">
                  <a:graphicData uri="http://schemas.microsoft.com/office/word/2010/wordprocessingShape">
                    <wps:wsp>
                      <wps:cNvSpPr txBox="1"/>
                      <wps:spPr>
                        <a:xfrm>
                          <a:off x="0" y="0"/>
                          <a:ext cx="6480175" cy="11772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97.1</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avoidance of doubt, Incentive-Based Compensation is “received” for purposes of this Policy in fiscal period during which the Financial Reporting Measure specified in the Incentive-Based Compensation award is attained, even if the payment or grant of such Incentive-Based Compensation occurs after the end of that period.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l.     A “Financial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m.     “Restatement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4. Exception to Compensation Recovery Requirement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5. Tax Considerations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6. Method of Compensation Recovery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Committee shall determine, in its sole discretion, the method for recovering Erroneously Awarded Compensation hereunder, which may include, without limitation, any one or more of the following:</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requiring reimbursement of cash Incentive-Based Compensation previously paid;</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seeking recovery of any gain realized on the vesting, exercise, settlement, sale, transfer or other disposition of any equity-based awards;</w:t>
      </w:r>
    </w:p>
    <w:p>
      <w:pPr>
        <w:pStyle w:val="TextBody"/>
        <w:bidi w:val="0"/>
        <w:spacing w:before="0" w:after="0"/>
        <w:ind w:left="0" w:right="0" w:hanging="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77290"/>
                <wp:effectExtent l="0" t="0" r="0" b="0"/>
                <wp:wrapNone/>
                <wp:docPr id="109" name="Frame108"/>
                <a:graphic xmlns:a="http://schemas.openxmlformats.org/drawingml/2006/main">
                  <a:graphicData uri="http://schemas.microsoft.com/office/word/2010/wordprocessingShape">
                    <wps:wsp>
                      <wps:cNvSpPr txBox="1"/>
                      <wps:spPr>
                        <a:xfrm>
                          <a:off x="0" y="0"/>
                          <a:ext cx="6480175" cy="11772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97.1</w: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     cancelling or rescinding some or all outstanding vested or unvested equity-based awards;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    adjusting or withholding from unpaid compensation or other set-off;</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e.    cancelling or offsetting against planned future grants of equity-based awards; and/or</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f.    any other method permitted by applicable law or contract.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Committee need not utilize the same method of recovery from all Covered Persons or with respect to all types of Erroneously Awarded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7. Policy Interpretation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8. Policy Administration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pStyle w:val="TextBody"/>
        <w:bidi w:val="0"/>
        <w:spacing w:before="0" w:after="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77290"/>
                <wp:effectExtent l="0" t="0" r="0" b="0"/>
                <wp:wrapNone/>
                <wp:docPr id="110" name="Frame109"/>
                <a:graphic xmlns:a="http://schemas.openxmlformats.org/drawingml/2006/main">
                  <a:graphicData uri="http://schemas.microsoft.com/office/word/2010/wordprocessingShape">
                    <wps:wsp>
                      <wps:cNvSpPr txBox="1"/>
                      <wps:spPr>
                        <a:xfrm>
                          <a:off x="0" y="0"/>
                          <a:ext cx="6480175" cy="11772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97.1</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9. Compensation Recovery Repayments not Subject to Indemnification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10. No Impairment of Other Remedies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Nothing contained in this Policy, and no recoupment or recovery as contemplated herein, shall limit any claims, damages or other legal remedies the Company or any of its affiliates may have against a Covered 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11. Recovery Requirement Shall not Constitute “Good Reason” Under Employment or Other Compensation Agreements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 compensation arrangement applicable to such Covered Person, or (ii) to constitute a breach of a contract or other arrangement to which such Covered Person is party.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12. Amendment; Termination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13. Successors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Policy shall be binding and enforceable against all Covered Executives and their successors, beneficiaries, heirs, executors, administrators, or other legal representatives. </w:t>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77290"/>
                <wp:effectExtent l="0" t="0" r="0" b="0"/>
                <wp:wrapNone/>
                <wp:docPr id="111" name="Frame110"/>
                <a:graphic xmlns:a="http://schemas.openxmlformats.org/drawingml/2006/main">
                  <a:graphicData uri="http://schemas.microsoft.com/office/word/2010/wordprocessingShape">
                    <wps:wsp>
                      <wps:cNvSpPr txBox="1"/>
                      <wps:spPr>
                        <a:xfrm>
                          <a:off x="0" y="0"/>
                          <a:ext cx="6480175" cy="117729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45" w:before="0" w:after="0"/>
                              <w:jc w:val="center"/>
                              <w:rPr>
                                <w:rFonts w:ascii="sans-serif" w:hAnsi="sans-serif"/>
                                <w:b w:val="false"/>
                                <w:color w:val="000000"/>
                                <w:sz w:val="22"/>
                              </w:rPr>
                            </w:pPr>
                            <w:r>
                              <w:rPr>
                                <w:rFonts w:ascii="sans-serif" w:hAnsi="sans-serif"/>
                                <w:b w:val="false"/>
                                <w:color w:val="000000"/>
                                <w:sz w:val="22"/>
                              </w:rPr>
                              <w:t>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Georgia">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36297/000119312524080594/d800855dex31.htm" TargetMode="External"/><Relationship Id="rId4" Type="http://schemas.openxmlformats.org/officeDocument/2006/relationships/hyperlink" Target="https://www.sec.gov/Archives/edgar/data/1736297/000119312524080594/d800855dex32.htm" TargetMode="External"/><Relationship Id="rId5" Type="http://schemas.openxmlformats.org/officeDocument/2006/relationships/hyperlink" Target="https://www.sec.gov/Archives/edgar/data/1736297/000119312524062817/d285484dex41.htm" TargetMode="External"/><Relationship Id="rId6" Type="http://schemas.openxmlformats.org/officeDocument/2006/relationships/hyperlink" Target="https://www.sec.gov/Archives/edgar/data/1736297/000119312524040419/d285484dex42.htm" TargetMode="External"/><Relationship Id="rId7" Type="http://schemas.openxmlformats.org/officeDocument/2006/relationships/hyperlink" Target="https://www.sec.gov/Archives/edgar/data/1736297/000173629725000003/exhibit43.htm" TargetMode="External"/><Relationship Id="rId8" Type="http://schemas.openxmlformats.org/officeDocument/2006/relationships/hyperlink" Target="https://www.sec.gov/Archives/edgar/data/1736297/000119312524040419/d285484dex101.htm" TargetMode="External"/><Relationship Id="rId9" Type="http://schemas.openxmlformats.org/officeDocument/2006/relationships/hyperlink" Target="https://www.sec.gov/Archives/edgar/data/1736297/000119312524056208/d285484dex102.htm" TargetMode="External"/><Relationship Id="rId10" Type="http://schemas.openxmlformats.org/officeDocument/2006/relationships/hyperlink" Target="https://www.sec.gov/Archives/edgar/data/1736297/000119312524056208/d285484dex103.htm" TargetMode="External"/><Relationship Id="rId11" Type="http://schemas.openxmlformats.org/officeDocument/2006/relationships/hyperlink" Target="https://www.sec.gov/Archives/edgar/data/1736297/000119312524056208/d285484dex104.htm" TargetMode="External"/><Relationship Id="rId12" Type="http://schemas.openxmlformats.org/officeDocument/2006/relationships/hyperlink" Target="https://www.sec.gov/Archives/edgar/data/1736297/000119312524040419/d285484dex105.htm" TargetMode="External"/><Relationship Id="rId13" Type="http://schemas.openxmlformats.org/officeDocument/2006/relationships/hyperlink" Target="https://www.sec.gov/Archives/edgar/data/1736297/000119312524040419/d285484dex107.htm" TargetMode="External"/><Relationship Id="rId14" Type="http://schemas.openxmlformats.org/officeDocument/2006/relationships/hyperlink" Target="https://www.sec.gov/Archives/edgar/data/1736297/000119312524040419/d285484dex108.htm" TargetMode="External"/><Relationship Id="rId15" Type="http://schemas.openxmlformats.org/officeDocument/2006/relationships/hyperlink" Target="https://www.sec.gov/Archives/edgar/data/1736297/000119312524040419/d285484dex109.htm" TargetMode="External"/><Relationship Id="rId16" Type="http://schemas.openxmlformats.org/officeDocument/2006/relationships/hyperlink" Target="https://www.sec.gov/Archives/edgar/data/1736297/000119312524040419/d285484dex1010.htm" TargetMode="External"/><Relationship Id="rId17" Type="http://schemas.openxmlformats.org/officeDocument/2006/relationships/hyperlink" Target="https://www.sec.gov/Archives/edgar/data/1736297/000119312524040419/d285484dex1011.htm" TargetMode="External"/><Relationship Id="rId18" Type="http://schemas.openxmlformats.org/officeDocument/2006/relationships/hyperlink" Target="https://www.sec.gov/Archives/edgar/data/1736297/000119312524040419/d285484dex1012.htm" TargetMode="External"/><Relationship Id="rId19" Type="http://schemas.openxmlformats.org/officeDocument/2006/relationships/hyperlink" Target="https://www.sec.gov/Archives/edgar/data/1736297/000119312524040419/d285484dex1013.htm" TargetMode="External"/><Relationship Id="rId20" Type="http://schemas.openxmlformats.org/officeDocument/2006/relationships/hyperlink" Target="https://www.sec.gov/Archives/edgar/data/1736297/000119312524056208/d285484dex1014.htm" TargetMode="External"/><Relationship Id="rId21" Type="http://schemas.openxmlformats.org/officeDocument/2006/relationships/hyperlink" Target="https://www.sec.gov/Archives/edgar/data/1736297/000173629725000003/exhibit1015.htm" TargetMode="External"/><Relationship Id="rId22" Type="http://schemas.openxmlformats.org/officeDocument/2006/relationships/hyperlink" Target="https://www.sec.gov/Archives/edgar/data/1736297/000173629725000003/exhibit191.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59795</Words>
  <Characters>338681</Characters>
  <CharactersWithSpaces>396023</CharactersWithSpaces>
  <Paragraphs>3823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