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85484ds1.htm"/>
        <w:bookmarkStart w:id="1" w:name="ksd285484ds1"/>
        <w:bookmarkEnd w:id="0"/>
        <w:bookmarkEnd w:id="1"/>
        <w:r>
          <w:rPr>
            <w:rStyle w:val="InternetLink"/>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February 20, 2024.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sz w:val="33"/>
        </w:rPr>
      </w:pPr>
      <w:r>
        <w:rPr>
          <w:rFonts w:ascii="Times New Roman" w:hAnsi="Times New Roman"/>
          <w:b/>
          <w:sz w:val="33"/>
        </w:rPr>
        <w:t>UNITED STATES</w:t>
      </w:r>
      <w:r>
        <w:rPr>
          <w:rFonts w:ascii="Times New Roman" w:hAnsi="Times New Roman"/>
          <w:sz w:val="33"/>
        </w:rPr>
        <w:t xml:space="preserve"> </w:t>
      </w:r>
    </w:p>
    <w:p>
      <w:pPr>
        <w:pStyle w:val="TextBody"/>
        <w:bidi w:val="0"/>
        <w:spacing w:before="0" w:after="0"/>
        <w:jc w:val="center"/>
        <w:rPr>
          <w:rFonts w:ascii="Times New Roman" w:hAnsi="Times New Roman"/>
          <w:sz w:val="33"/>
        </w:rPr>
      </w:pPr>
      <w:r>
        <w:rPr>
          <w:rFonts w:ascii="Times New Roman" w:hAnsi="Times New Roman"/>
          <w:b/>
          <w:sz w:val="33"/>
        </w:rPr>
        <w:t>SECURITIES AND EXCHANGE COMMISSION</w:t>
      </w:r>
      <w:r>
        <w:rPr>
          <w:rFonts w:ascii="Times New Roman" w:hAnsi="Times New Roman"/>
          <w:sz w:val="33"/>
        </w:rPr>
        <w:t xml:space="preserve"> </w:t>
      </w:r>
    </w:p>
    <w:p>
      <w:pPr>
        <w:pStyle w:val="TextBody"/>
        <w:bidi w:val="0"/>
        <w:spacing w:before="0" w:after="0"/>
        <w:jc w:val="center"/>
        <w:rPr>
          <w:rFonts w:ascii="Times New Roman" w:hAnsi="Times New Roman"/>
          <w:sz w:val="21"/>
        </w:rPr>
      </w:pPr>
      <w:r>
        <w:rPr>
          <w:rFonts w:ascii="Times New Roman" w:hAnsi="Times New Roman"/>
          <w:b/>
          <w:sz w:val="21"/>
        </w:rPr>
        <w:t>WASHINGTON, D.C. 20549</w:t>
      </w:r>
      <w:r>
        <w:rPr>
          <w:rFonts w:ascii="Times New Roman" w:hAnsi="Times New Roman"/>
          <w:sz w:val="21"/>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sz w:val="33"/>
        </w:rPr>
      </w:pPr>
      <w:r>
        <w:rPr>
          <w:rFonts w:ascii="Times New Roman" w:hAnsi="Times New Roman"/>
          <w:b/>
          <w:sz w:val="33"/>
        </w:rPr>
        <w:t>FORM S-1</w:t>
      </w:r>
      <w:r>
        <w:rPr>
          <w:rFonts w:ascii="Times New Roman" w:hAnsi="Times New Roman"/>
          <w:sz w:val="33"/>
        </w:rPr>
        <w:t xml:space="preserve"> </w:t>
      </w:r>
    </w:p>
    <w:p>
      <w:pPr>
        <w:pStyle w:val="TextBody"/>
        <w:bidi w:val="0"/>
        <w:spacing w:before="0" w:after="0"/>
        <w:jc w:val="center"/>
        <w:rPr>
          <w:rFonts w:ascii="Times New Roman" w:hAnsi="Times New Roman"/>
          <w:sz w:val="33"/>
        </w:rPr>
      </w:pPr>
      <w:r>
        <w:rPr>
          <w:rFonts w:ascii="Times New Roman" w:hAnsi="Times New Roman"/>
          <w:b/>
          <w:sz w:val="33"/>
        </w:rPr>
        <w:t>REGISTRATION STATEMENT</w:t>
      </w:r>
      <w:r>
        <w:rPr>
          <w:rFonts w:ascii="Times New Roman" w:hAnsi="Times New Roman"/>
          <w:sz w:val="33"/>
        </w:rPr>
        <w:t xml:space="preserve"> </w:t>
      </w:r>
    </w:p>
    <w:p>
      <w:pPr>
        <w:pStyle w:val="TextBody"/>
        <w:bidi w:val="0"/>
        <w:spacing w:before="0" w:after="0"/>
        <w:jc w:val="center"/>
        <w:rPr>
          <w:rFonts w:ascii="Times New Roman" w:hAnsi="Times New Roman"/>
          <w:b/>
          <w:i/>
          <w:sz w:val="21"/>
        </w:rPr>
      </w:pPr>
      <w:r>
        <w:rPr>
          <w:rFonts w:ascii="Times New Roman" w:hAnsi="Times New Roman"/>
          <w:b/>
          <w:i/>
          <w:sz w:val="21"/>
        </w:rPr>
        <w:t xml:space="preserve">UNDER </w:t>
      </w:r>
    </w:p>
    <w:p>
      <w:pPr>
        <w:pStyle w:val="TextBody"/>
        <w:bidi w:val="0"/>
        <w:spacing w:before="0" w:after="0"/>
        <w:jc w:val="center"/>
        <w:rPr>
          <w:rFonts w:ascii="Times New Roman" w:hAnsi="Times New Roman"/>
          <w:b/>
          <w:i/>
          <w:sz w:val="21"/>
        </w:rPr>
      </w:pPr>
      <w:r>
        <w:rPr>
          <w:rFonts w:ascii="Times New Roman" w:hAnsi="Times New Roman"/>
          <w:b/>
          <w:i/>
          <w:sz w:val="21"/>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sz w:val="45"/>
        </w:rPr>
      </w:pPr>
      <w:r>
        <w:rPr>
          <w:rFonts w:ascii="Times New Roman" w:hAnsi="Times New Roman"/>
          <w:b/>
          <w:sz w:val="45"/>
        </w:rPr>
        <w:t>Astera Labs, Inc.</w:t>
      </w:r>
      <w:r>
        <w:rPr>
          <w:rFonts w:ascii="Times New Roman" w:hAnsi="Times New Roman"/>
          <w:sz w:val="45"/>
        </w:rPr>
        <w:t xml:space="preserve">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3674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82-3437062</w:t>
            </w:r>
          </w:p>
        </w:tc>
      </w:tr>
      <w:tr>
        <w:trPr/>
        <w:tc>
          <w:tcPr>
            <w:tcW w:w="3469" w:type="dxa"/>
            <w:tcBorders/>
          </w:tcPr>
          <w:p>
            <w:pPr>
              <w:pStyle w:val="TableContents"/>
              <w:bidi w:val="0"/>
              <w:spacing w:before="0" w:after="0"/>
              <w:jc w:val="center"/>
              <w:rPr>
                <w:rFonts w:ascii="Times New Roman" w:hAnsi="Times New Roman"/>
                <w:b/>
                <w:sz w:val="15"/>
              </w:rPr>
            </w:pPr>
            <w:r>
              <w:rPr>
                <w:rFonts w:ascii="Times New Roman" w:hAnsi="Times New Roman"/>
                <w:b/>
                <w:sz w:val="15"/>
              </w:rPr>
              <w:t>(State or Other Jurisdiction of</w:t>
            </w:r>
          </w:p>
          <w:p>
            <w:pPr>
              <w:pStyle w:val="TableContents"/>
              <w:bidi w:val="0"/>
              <w:spacing w:before="0" w:after="20"/>
              <w:jc w:val="center"/>
              <w:rPr>
                <w:rFonts w:ascii="Times New Roman" w:hAnsi="Times New Roman"/>
                <w:b/>
                <w:sz w:val="15"/>
              </w:rPr>
            </w:pPr>
            <w:r>
              <w:rPr>
                <w:rFonts w:ascii="Times New Roman" w:hAnsi="Times New Roman"/>
                <w:b/>
                <w:sz w:val="15"/>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5"/>
              </w:rPr>
            </w:pPr>
            <w:r>
              <w:rPr>
                <w:rFonts w:ascii="Times New Roman" w:hAnsi="Times New Roman"/>
                <w:b/>
                <w:sz w:val="15"/>
              </w:rPr>
              <w:t>(Primary Standard Industrial</w:t>
            </w:r>
          </w:p>
          <w:p>
            <w:pPr>
              <w:pStyle w:val="TableContents"/>
              <w:bidi w:val="0"/>
              <w:spacing w:before="0" w:after="20"/>
              <w:jc w:val="center"/>
              <w:rPr>
                <w:rFonts w:ascii="Times New Roman" w:hAnsi="Times New Roman"/>
                <w:b/>
                <w:sz w:val="15"/>
              </w:rPr>
            </w:pPr>
            <w:r>
              <w:rPr>
                <w:rFonts w:ascii="Times New Roman" w:hAnsi="Times New Roman"/>
                <w:b/>
                <w:sz w:val="15"/>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5"/>
              </w:rPr>
            </w:pPr>
            <w:r>
              <w:rPr>
                <w:rFonts w:ascii="Times New Roman" w:hAnsi="Times New Roman"/>
                <w:b/>
                <w:sz w:val="15"/>
              </w:rPr>
              <w:t>(I.R.S. Employer</w:t>
            </w:r>
          </w:p>
          <w:p>
            <w:pPr>
              <w:pStyle w:val="TableContents"/>
              <w:bidi w:val="0"/>
              <w:spacing w:before="0" w:after="20"/>
              <w:jc w:val="center"/>
              <w:rPr>
                <w:rFonts w:ascii="Times New Roman" w:hAnsi="Times New Roman"/>
                <w:b/>
                <w:sz w:val="15"/>
              </w:rPr>
            </w:pPr>
            <w:r>
              <w:rPr>
                <w:rFonts w:ascii="Times New Roman" w:hAnsi="Times New Roman"/>
                <w:b/>
                <w:sz w:val="15"/>
              </w:rPr>
              <w:t>Identification Number)</w:t>
            </w:r>
          </w:p>
        </w:tc>
      </w:tr>
    </w:tbl>
    <w:p>
      <w:pPr>
        <w:pStyle w:val="TextBody"/>
        <w:bidi w:val="0"/>
        <w:spacing w:before="120" w:after="0"/>
        <w:jc w:val="center"/>
        <w:rPr>
          <w:rFonts w:ascii="Times New Roman" w:hAnsi="Times New Roman"/>
          <w:b/>
          <w:sz w:val="17"/>
        </w:rPr>
      </w:pPr>
      <w:r>
        <w:rPr>
          <w:rFonts w:ascii="Times New Roman" w:hAnsi="Times New Roman"/>
          <w:b/>
          <w:sz w:val="17"/>
        </w:rPr>
        <w:t xml:space="preserve">2901 Tasman Drive, Suite 205 </w:t>
      </w:r>
    </w:p>
    <w:p>
      <w:pPr>
        <w:pStyle w:val="TextBody"/>
        <w:bidi w:val="0"/>
        <w:spacing w:before="0" w:after="0"/>
        <w:jc w:val="center"/>
        <w:rPr>
          <w:rFonts w:ascii="Times New Roman" w:hAnsi="Times New Roman"/>
          <w:b/>
          <w:sz w:val="17"/>
        </w:rPr>
      </w:pPr>
      <w:r>
        <w:rPr>
          <w:rFonts w:ascii="Times New Roman" w:hAnsi="Times New Roman"/>
          <w:b/>
          <w:sz w:val="17"/>
        </w:rPr>
        <w:t xml:space="preserve">Santa Clara, CA 95054 </w:t>
      </w:r>
    </w:p>
    <w:p>
      <w:pPr>
        <w:pStyle w:val="TextBody"/>
        <w:bidi w:val="0"/>
        <w:spacing w:before="0" w:after="0"/>
        <w:jc w:val="center"/>
        <w:rPr>
          <w:rFonts w:ascii="Times New Roman" w:hAnsi="Times New Roman"/>
          <w:b/>
          <w:sz w:val="17"/>
        </w:rPr>
      </w:pPr>
      <w:r>
        <w:rPr>
          <w:rFonts w:ascii="Times New Roman" w:hAnsi="Times New Roman"/>
          <w:b/>
          <w:sz w:val="17"/>
        </w:rPr>
        <w:t xml:space="preserve">(408) 337-9056 </w:t>
      </w:r>
    </w:p>
    <w:p>
      <w:pPr>
        <w:pStyle w:val="TextBody"/>
        <w:bidi w:val="0"/>
        <w:spacing w:before="0" w:after="0"/>
        <w:jc w:val="center"/>
        <w:rPr>
          <w:rFonts w:ascii="Times New Roman" w:hAnsi="Times New Roman"/>
          <w:b/>
          <w:sz w:val="15"/>
        </w:rPr>
      </w:pPr>
      <w:r>
        <w:rPr>
          <w:rFonts w:ascii="Times New Roman" w:hAnsi="Times New Roman"/>
          <w:b/>
          <w:sz w:val="15"/>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17"/>
        </w:rPr>
      </w:pPr>
      <w:r>
        <w:rPr>
          <w:rFonts w:ascii="Times New Roman" w:hAnsi="Times New Roman"/>
          <w:b/>
          <w:sz w:val="17"/>
        </w:rPr>
        <w:t xml:space="preserve">Jitendra Mohan </w:t>
      </w:r>
    </w:p>
    <w:p>
      <w:pPr>
        <w:pStyle w:val="TextBody"/>
        <w:bidi w:val="0"/>
        <w:spacing w:before="0" w:after="0"/>
        <w:jc w:val="center"/>
        <w:rPr>
          <w:rFonts w:ascii="Times New Roman" w:hAnsi="Times New Roman"/>
          <w:b/>
          <w:sz w:val="17"/>
        </w:rPr>
      </w:pPr>
      <w:r>
        <w:rPr>
          <w:rFonts w:ascii="Times New Roman" w:hAnsi="Times New Roman"/>
          <w:b/>
          <w:sz w:val="17"/>
        </w:rPr>
        <w:t xml:space="preserve">Co-Founder and 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Astera Labs, Inc. </w:t>
      </w:r>
    </w:p>
    <w:p>
      <w:pPr>
        <w:pStyle w:val="TextBody"/>
        <w:bidi w:val="0"/>
        <w:spacing w:before="0" w:after="0"/>
        <w:jc w:val="center"/>
        <w:rPr>
          <w:rFonts w:ascii="Times New Roman" w:hAnsi="Times New Roman"/>
          <w:b/>
          <w:sz w:val="17"/>
        </w:rPr>
      </w:pPr>
      <w:r>
        <w:rPr>
          <w:rFonts w:ascii="Times New Roman" w:hAnsi="Times New Roman"/>
          <w:b/>
          <w:sz w:val="17"/>
        </w:rPr>
        <w:t xml:space="preserve">2901 Tasman Drive, Suite 205 </w:t>
      </w:r>
    </w:p>
    <w:p>
      <w:pPr>
        <w:pStyle w:val="TextBody"/>
        <w:bidi w:val="0"/>
        <w:spacing w:before="0" w:after="0"/>
        <w:jc w:val="center"/>
        <w:rPr>
          <w:rFonts w:ascii="Times New Roman" w:hAnsi="Times New Roman"/>
          <w:b/>
          <w:sz w:val="17"/>
        </w:rPr>
      </w:pPr>
      <w:r>
        <w:rPr>
          <w:rFonts w:ascii="Times New Roman" w:hAnsi="Times New Roman"/>
          <w:b/>
          <w:sz w:val="17"/>
        </w:rPr>
        <w:t xml:space="preserve">Santa Clara, CA 95054 </w:t>
      </w:r>
    </w:p>
    <w:p>
      <w:pPr>
        <w:pStyle w:val="TextBody"/>
        <w:bidi w:val="0"/>
        <w:spacing w:before="0" w:after="0"/>
        <w:jc w:val="center"/>
        <w:rPr>
          <w:rFonts w:ascii="Times New Roman" w:hAnsi="Times New Roman"/>
          <w:b/>
          <w:sz w:val="17"/>
        </w:rPr>
      </w:pPr>
      <w:r>
        <w:rPr>
          <w:rFonts w:ascii="Times New Roman" w:hAnsi="Times New Roman"/>
          <w:b/>
          <w:sz w:val="17"/>
        </w:rPr>
        <w:t xml:space="preserve">(408) 337-9056 </w:t>
      </w:r>
    </w:p>
    <w:p>
      <w:pPr>
        <w:pStyle w:val="TextBody"/>
        <w:bidi w:val="0"/>
        <w:spacing w:before="0" w:after="0"/>
        <w:jc w:val="center"/>
        <w:rPr>
          <w:rFonts w:ascii="Times New Roman" w:hAnsi="Times New Roman"/>
          <w:b/>
          <w:sz w:val="15"/>
        </w:rPr>
      </w:pPr>
      <w:r>
        <w:rPr>
          <w:rFonts w:ascii="Times New Roman" w:hAnsi="Times New Roman"/>
          <w:b/>
          <w:sz w:val="15"/>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i/>
          <w:sz w:val="19"/>
        </w:rPr>
      </w:pPr>
      <w:r>
        <w:rPr>
          <w:rFonts w:ascii="Times New Roman" w:hAnsi="Times New Roman"/>
          <w:b/>
          <w:i/>
          <w:sz w:val="19"/>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17"/>
              </w:rPr>
            </w:pPr>
            <w:r>
              <w:rPr>
                <w:rFonts w:ascii="Times New Roman" w:hAnsi="Times New Roman"/>
                <w:b/>
                <w:sz w:val="17"/>
              </w:rPr>
              <w:t>Bradley C. Weber</w:t>
            </w:r>
          </w:p>
          <w:p>
            <w:pPr>
              <w:pStyle w:val="TableContents"/>
              <w:bidi w:val="0"/>
              <w:spacing w:before="0" w:after="0"/>
              <w:jc w:val="center"/>
              <w:rPr>
                <w:rFonts w:ascii="Times New Roman" w:hAnsi="Times New Roman"/>
                <w:b/>
                <w:sz w:val="17"/>
              </w:rPr>
            </w:pPr>
            <w:r>
              <w:rPr>
                <w:rFonts w:ascii="Times New Roman" w:hAnsi="Times New Roman"/>
                <w:b/>
                <w:sz w:val="17"/>
              </w:rPr>
              <w:t>Julia R. White</w:t>
            </w:r>
          </w:p>
          <w:p>
            <w:pPr>
              <w:pStyle w:val="TableContents"/>
              <w:bidi w:val="0"/>
              <w:spacing w:before="0" w:after="0"/>
              <w:jc w:val="center"/>
              <w:rPr>
                <w:rFonts w:ascii="Times New Roman" w:hAnsi="Times New Roman"/>
                <w:b/>
                <w:sz w:val="17"/>
              </w:rPr>
            </w:pPr>
            <w:r>
              <w:rPr>
                <w:rFonts w:ascii="Times New Roman" w:hAnsi="Times New Roman"/>
                <w:b/>
                <w:sz w:val="17"/>
              </w:rPr>
              <w:t>John Hutar</w:t>
            </w:r>
          </w:p>
          <w:p>
            <w:pPr>
              <w:pStyle w:val="TableContents"/>
              <w:bidi w:val="0"/>
              <w:spacing w:before="0" w:after="0"/>
              <w:jc w:val="center"/>
              <w:rPr>
                <w:rFonts w:ascii="Times New Roman" w:hAnsi="Times New Roman"/>
                <w:b/>
                <w:sz w:val="17"/>
              </w:rPr>
            </w:pPr>
            <w:r>
              <w:rPr>
                <w:rFonts w:ascii="Times New Roman" w:hAnsi="Times New Roman"/>
                <w:b/>
                <w:sz w:val="17"/>
              </w:rPr>
              <w:t>Goodwin Procter LLP</w:t>
            </w:r>
          </w:p>
          <w:p>
            <w:pPr>
              <w:pStyle w:val="TableContents"/>
              <w:bidi w:val="0"/>
              <w:spacing w:before="0" w:after="0"/>
              <w:jc w:val="center"/>
              <w:rPr>
                <w:rFonts w:ascii="Times New Roman" w:hAnsi="Times New Roman"/>
                <w:b/>
                <w:sz w:val="17"/>
              </w:rPr>
            </w:pPr>
            <w:r>
              <w:rPr>
                <w:rFonts w:ascii="Times New Roman" w:hAnsi="Times New Roman"/>
                <w:b/>
                <w:sz w:val="17"/>
              </w:rPr>
              <w:t>601 Marshall Street</w:t>
            </w:r>
          </w:p>
          <w:p>
            <w:pPr>
              <w:pStyle w:val="TableContents"/>
              <w:bidi w:val="0"/>
              <w:spacing w:before="0" w:after="0"/>
              <w:jc w:val="center"/>
              <w:rPr>
                <w:rFonts w:ascii="Times New Roman" w:hAnsi="Times New Roman"/>
                <w:b/>
                <w:sz w:val="17"/>
              </w:rPr>
            </w:pPr>
            <w:r>
              <w:rPr>
                <w:rFonts w:ascii="Times New Roman" w:hAnsi="Times New Roman"/>
                <w:b/>
                <w:sz w:val="17"/>
              </w:rPr>
              <w:t>Redwood City, CA 94063</w:t>
            </w:r>
          </w:p>
          <w:p>
            <w:pPr>
              <w:pStyle w:val="TableContents"/>
              <w:bidi w:val="0"/>
              <w:spacing w:before="0" w:after="20"/>
              <w:jc w:val="center"/>
              <w:rPr>
                <w:rFonts w:ascii="Times New Roman" w:hAnsi="Times New Roman"/>
                <w:b/>
                <w:sz w:val="17"/>
              </w:rPr>
            </w:pPr>
            <w:r>
              <w:rPr>
                <w:rFonts w:ascii="Times New Roman" w:hAnsi="Times New Roman"/>
                <w:b/>
                <w:sz w:val="17"/>
              </w:rPr>
              <w:t>(650) 752-3100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7"/>
              </w:rPr>
            </w:pPr>
            <w:r>
              <w:rPr>
                <w:rFonts w:ascii="Times New Roman" w:hAnsi="Times New Roman"/>
                <w:b/>
                <w:sz w:val="17"/>
              </w:rPr>
              <w:t>Philip T. Mazzara</w:t>
            </w:r>
          </w:p>
          <w:p>
            <w:pPr>
              <w:pStyle w:val="TableContents"/>
              <w:bidi w:val="0"/>
              <w:spacing w:before="0" w:after="0"/>
              <w:jc w:val="center"/>
              <w:rPr>
                <w:rFonts w:ascii="Times New Roman" w:hAnsi="Times New Roman"/>
                <w:b/>
                <w:sz w:val="17"/>
              </w:rPr>
            </w:pPr>
            <w:r>
              <w:rPr>
                <w:rFonts w:ascii="Times New Roman" w:hAnsi="Times New Roman"/>
                <w:b/>
                <w:sz w:val="17"/>
              </w:rPr>
              <w:t>General Counsel &amp; Secretary</w:t>
            </w:r>
          </w:p>
          <w:p>
            <w:pPr>
              <w:pStyle w:val="TableContents"/>
              <w:bidi w:val="0"/>
              <w:spacing w:before="0" w:after="0"/>
              <w:jc w:val="center"/>
              <w:rPr>
                <w:rFonts w:ascii="Times New Roman" w:hAnsi="Times New Roman"/>
                <w:b/>
                <w:sz w:val="17"/>
              </w:rPr>
            </w:pPr>
            <w:r>
              <w:rPr>
                <w:rFonts w:ascii="Times New Roman" w:hAnsi="Times New Roman"/>
                <w:b/>
                <w:sz w:val="17"/>
              </w:rPr>
              <w:t>Astera Labs, Inc.</w:t>
            </w:r>
          </w:p>
          <w:p>
            <w:pPr>
              <w:pStyle w:val="TableContents"/>
              <w:bidi w:val="0"/>
              <w:spacing w:before="0" w:after="0"/>
              <w:jc w:val="center"/>
              <w:rPr>
                <w:rFonts w:ascii="Times New Roman" w:hAnsi="Times New Roman"/>
                <w:b/>
                <w:sz w:val="17"/>
              </w:rPr>
            </w:pPr>
            <w:r>
              <w:rPr>
                <w:rFonts w:ascii="Times New Roman" w:hAnsi="Times New Roman"/>
                <w:b/>
                <w:sz w:val="17"/>
              </w:rPr>
              <w:t>2901 Tasman Drive, Suite 205</w:t>
            </w:r>
          </w:p>
          <w:p>
            <w:pPr>
              <w:pStyle w:val="TableContents"/>
              <w:bidi w:val="0"/>
              <w:spacing w:before="0" w:after="0"/>
              <w:jc w:val="center"/>
              <w:rPr>
                <w:rFonts w:ascii="Times New Roman" w:hAnsi="Times New Roman"/>
                <w:b/>
                <w:sz w:val="17"/>
              </w:rPr>
            </w:pPr>
            <w:r>
              <w:rPr>
                <w:rFonts w:ascii="Times New Roman" w:hAnsi="Times New Roman"/>
                <w:b/>
                <w:sz w:val="17"/>
              </w:rPr>
              <w:t>Santa Clara, CA 95054</w:t>
            </w:r>
          </w:p>
          <w:p>
            <w:pPr>
              <w:pStyle w:val="TableContents"/>
              <w:bidi w:val="0"/>
              <w:spacing w:before="0" w:after="20"/>
              <w:jc w:val="center"/>
              <w:rPr>
                <w:rFonts w:ascii="Times New Roman" w:hAnsi="Times New Roman"/>
                <w:b/>
                <w:sz w:val="17"/>
              </w:rPr>
            </w:pPr>
            <w:r>
              <w:rPr>
                <w:rFonts w:ascii="Times New Roman" w:hAnsi="Times New Roman"/>
                <w:b/>
                <w:sz w:val="17"/>
              </w:rPr>
              <w:t>(408) 337-9056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7"/>
              </w:rPr>
            </w:pPr>
            <w:r>
              <w:rPr>
                <w:rFonts w:ascii="Times New Roman" w:hAnsi="Times New Roman"/>
                <w:b/>
                <w:sz w:val="17"/>
              </w:rPr>
              <w:t>Heidi E. Mayon</w:t>
            </w:r>
          </w:p>
          <w:p>
            <w:pPr>
              <w:pStyle w:val="TableContents"/>
              <w:bidi w:val="0"/>
              <w:spacing w:before="0" w:after="0"/>
              <w:jc w:val="center"/>
              <w:rPr>
                <w:rFonts w:ascii="Times New Roman" w:hAnsi="Times New Roman"/>
                <w:b/>
                <w:sz w:val="17"/>
              </w:rPr>
            </w:pPr>
            <w:r>
              <w:rPr>
                <w:rFonts w:ascii="Times New Roman" w:hAnsi="Times New Roman"/>
                <w:b/>
                <w:sz w:val="17"/>
              </w:rPr>
              <w:t>Simpson Thacher &amp; Bartlett LLP</w:t>
            </w:r>
          </w:p>
          <w:p>
            <w:pPr>
              <w:pStyle w:val="TableContents"/>
              <w:bidi w:val="0"/>
              <w:spacing w:before="0" w:after="0"/>
              <w:jc w:val="center"/>
              <w:rPr>
                <w:rFonts w:ascii="Times New Roman" w:hAnsi="Times New Roman"/>
                <w:b/>
                <w:sz w:val="17"/>
              </w:rPr>
            </w:pPr>
            <w:r>
              <w:rPr>
                <w:rFonts w:ascii="Times New Roman" w:hAnsi="Times New Roman"/>
                <w:b/>
                <w:sz w:val="17"/>
              </w:rPr>
              <w:t>2475 Hanover Street</w:t>
            </w:r>
          </w:p>
          <w:p>
            <w:pPr>
              <w:pStyle w:val="TableContents"/>
              <w:bidi w:val="0"/>
              <w:spacing w:before="0" w:after="0"/>
              <w:jc w:val="center"/>
              <w:rPr>
                <w:rFonts w:ascii="Times New Roman" w:hAnsi="Times New Roman"/>
                <w:b/>
                <w:sz w:val="17"/>
              </w:rPr>
            </w:pPr>
            <w:r>
              <w:rPr>
                <w:rFonts w:ascii="Times New Roman" w:hAnsi="Times New Roman"/>
                <w:b/>
                <w:sz w:val="17"/>
              </w:rPr>
              <w:t>Palo Alto, CA 94304</w:t>
            </w:r>
          </w:p>
          <w:p>
            <w:pPr>
              <w:pStyle w:val="TableContents"/>
              <w:bidi w:val="0"/>
              <w:spacing w:before="0" w:after="20"/>
              <w:jc w:val="center"/>
              <w:rPr>
                <w:rFonts w:ascii="Times New Roman" w:hAnsi="Times New Roman"/>
                <w:b/>
                <w:sz w:val="17"/>
              </w:rPr>
            </w:pPr>
            <w:r>
              <w:rPr>
                <w:rFonts w:ascii="Times New Roman" w:hAnsi="Times New Roman"/>
                <w:b/>
                <w:sz w:val="17"/>
              </w:rPr>
              <w:t>(650) 251-5000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Times New Roman" w:hAnsi="Times New Roman"/>
          <w:sz w:val="17"/>
        </w:rPr>
      </w:pPr>
      <w:r>
        <w:rPr>
          <w:rFonts w:ascii="Times New Roman" w:hAnsi="Times New Roman"/>
          <w:sz w:val="17"/>
        </w:rPr>
        <w:t xml:space="preserve">Approximate date of commencement of proposed sale to the public: As soon as practicable after this registration statement becomes effective. </w:t>
      </w:r>
    </w:p>
    <w:p>
      <w:pPr>
        <w:pStyle w:val="TextBody"/>
        <w:bidi w:val="0"/>
        <w:spacing w:before="120" w:after="0"/>
        <w:jc w:val="both"/>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check the following box: ☐ </w:t>
      </w:r>
    </w:p>
    <w:p>
      <w:pPr>
        <w:pStyle w:val="TextBody"/>
        <w:bidi w:val="0"/>
        <w:spacing w:before="120" w:after="0"/>
        <w:jc w:val="both"/>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7"/>
        </w:rPr>
      </w:pPr>
      <w:r>
        <w:rPr>
          <w:rFonts w:ascii="Times New Roman" w:hAnsi="Times New Roman"/>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both"/>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0"/>
        <w:gridCol w:w="106"/>
        <w:gridCol w:w="5408"/>
        <w:gridCol w:w="120"/>
        <w:gridCol w:w="2295"/>
        <w:gridCol w:w="106"/>
        <w:gridCol w:w="240"/>
      </w:tblGrid>
      <w:tr>
        <w:trPr/>
        <w:tc>
          <w:tcPr>
            <w:tcW w:w="193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4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930" w:type="dxa"/>
            <w:tcBorders/>
            <w:vAlign w:val="bottom"/>
          </w:tcPr>
          <w:p>
            <w:pPr>
              <w:pStyle w:val="TableContents"/>
              <w:bidi w:val="0"/>
              <w:spacing w:before="0" w:after="0"/>
              <w:jc w:val="both"/>
              <w:rPr>
                <w:rFonts w:ascii="Times New Roman" w:hAnsi="Times New Roman"/>
                <w:sz w:val="17"/>
              </w:rPr>
            </w:pPr>
            <w:r>
              <w:rPr>
                <w:rFonts w:ascii="Times New Roman" w:hAnsi="Times New Roman"/>
                <w:sz w:val="17"/>
              </w:rPr>
              <w:t>Large accelerated filer</w:t>
            </w:r>
          </w:p>
        </w:tc>
        <w:tc>
          <w:tcPr>
            <w:tcW w:w="106" w:type="dxa"/>
            <w:tcBorders/>
            <w:vAlign w:val="bottom"/>
          </w:tcPr>
          <w:p>
            <w:pPr>
              <w:pStyle w:val="TableContents"/>
              <w:bidi w:val="0"/>
              <w:spacing w:before="0" w:after="283"/>
              <w:jc w:val="left"/>
              <w:rPr/>
            </w:pPr>
            <w:r>
              <w:rPr/>
              <w:t> </w:t>
            </w:r>
          </w:p>
        </w:tc>
        <w:tc>
          <w:tcPr>
            <w:tcW w:w="5408" w:type="dxa"/>
            <w:tcBorders/>
            <w:vAlign w:val="bottom"/>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7"/>
              </w:rPr>
            </w:pPr>
            <w:r>
              <w:rPr>
                <w:rFonts w:ascii="Times New Roman" w:hAnsi="Times New Roman"/>
                <w:sz w:val="17"/>
              </w:rPr>
              <w:t>Accelerated filer</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r>
        <w:trPr>
          <w:trHeight w:val="60" w:hRule="atLeast"/>
        </w:trPr>
        <w:tc>
          <w:tcPr>
            <w:tcW w:w="1930" w:type="dxa"/>
            <w:tcBorders/>
            <w:vAlign w:val="center"/>
          </w:tcPr>
          <w:p>
            <w:pPr>
              <w:pStyle w:val="TableContents"/>
              <w:bidi w:val="0"/>
              <w:spacing w:before="0" w:after="283"/>
              <w:jc w:val="left"/>
              <w:rPr>
                <w:sz w:val="4"/>
                <w:szCs w:val="4"/>
              </w:rPr>
            </w:pPr>
            <w:r>
              <w:rPr>
                <w:sz w:val="4"/>
                <w:szCs w:val="4"/>
              </w:rPr>
            </w:r>
          </w:p>
        </w:tc>
        <w:tc>
          <w:tcPr>
            <w:tcW w:w="5514" w:type="dxa"/>
            <w:gridSpan w:val="2"/>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c>
          <w:tcPr>
            <w:tcW w:w="346" w:type="dxa"/>
            <w:gridSpan w:val="2"/>
            <w:tcBorders/>
            <w:vAlign w:val="center"/>
          </w:tcPr>
          <w:p>
            <w:pPr>
              <w:pStyle w:val="TableContents"/>
              <w:bidi w:val="0"/>
              <w:spacing w:before="0" w:after="283"/>
              <w:jc w:val="left"/>
              <w:rPr>
                <w:sz w:val="4"/>
                <w:szCs w:val="4"/>
              </w:rPr>
            </w:pPr>
            <w:r>
              <w:rPr>
                <w:sz w:val="4"/>
                <w:szCs w:val="4"/>
              </w:rPr>
            </w:r>
          </w:p>
        </w:tc>
      </w:tr>
      <w:tr>
        <w:trPr/>
        <w:tc>
          <w:tcPr>
            <w:tcW w:w="1930" w:type="dxa"/>
            <w:tcBorders/>
            <w:vAlign w:val="bottom"/>
          </w:tcPr>
          <w:p>
            <w:pPr>
              <w:pStyle w:val="TableContents"/>
              <w:bidi w:val="0"/>
              <w:spacing w:before="0" w:after="0"/>
              <w:jc w:val="both"/>
              <w:rPr>
                <w:rFonts w:ascii="Times New Roman" w:hAnsi="Times New Roman"/>
                <w:sz w:val="17"/>
              </w:rPr>
            </w:pPr>
            <w:r>
              <w:rPr>
                <w:rFonts w:ascii="Times New Roman" w:hAnsi="Times New Roman"/>
                <w:sz w:val="17"/>
              </w:rPr>
              <w:t>Non-accelerated filer</w:t>
            </w:r>
          </w:p>
        </w:tc>
        <w:tc>
          <w:tcPr>
            <w:tcW w:w="106" w:type="dxa"/>
            <w:tcBorders/>
            <w:vAlign w:val="bottom"/>
          </w:tcPr>
          <w:p>
            <w:pPr>
              <w:pStyle w:val="TableContents"/>
              <w:bidi w:val="0"/>
              <w:spacing w:before="0" w:after="283"/>
              <w:jc w:val="left"/>
              <w:rPr/>
            </w:pPr>
            <w:r>
              <w:rPr/>
              <w:t> </w:t>
            </w:r>
          </w:p>
        </w:tc>
        <w:tc>
          <w:tcPr>
            <w:tcW w:w="5408" w:type="dxa"/>
            <w:tcBorders/>
            <w:vAlign w:val="bottom"/>
          </w:tcPr>
          <w:p>
            <w:pPr>
              <w:pStyle w:val="TableContents"/>
              <w:bidi w:val="0"/>
              <w:spacing w:before="0" w:after="0"/>
              <w:jc w:val="both"/>
              <w:rPr/>
            </w:pPr>
            <w:r>
              <w:rPr/>
              <w:t>☒</w:t>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7"/>
              </w:rPr>
            </w:pPr>
            <w:r>
              <w:rPr>
                <w:rFonts w:ascii="Times New Roman" w:hAnsi="Times New Roman"/>
                <w:sz w:val="17"/>
              </w:rPr>
              <w:t>Smaller reporting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r>
        <w:trPr>
          <w:trHeight w:val="60" w:hRule="atLeast"/>
        </w:trPr>
        <w:tc>
          <w:tcPr>
            <w:tcW w:w="1930" w:type="dxa"/>
            <w:tcBorders/>
            <w:vAlign w:val="center"/>
          </w:tcPr>
          <w:p>
            <w:pPr>
              <w:pStyle w:val="TableContents"/>
              <w:bidi w:val="0"/>
              <w:spacing w:before="0" w:after="283"/>
              <w:jc w:val="left"/>
              <w:rPr>
                <w:sz w:val="4"/>
                <w:szCs w:val="4"/>
              </w:rPr>
            </w:pPr>
            <w:r>
              <w:rPr>
                <w:sz w:val="4"/>
                <w:szCs w:val="4"/>
              </w:rPr>
            </w:r>
          </w:p>
        </w:tc>
        <w:tc>
          <w:tcPr>
            <w:tcW w:w="5514" w:type="dxa"/>
            <w:gridSpan w:val="2"/>
            <w:tcBorders/>
            <w:vAlign w:val="center"/>
          </w:tcPr>
          <w:p>
            <w:pPr>
              <w:pStyle w:val="TableContents"/>
              <w:bidi w:val="0"/>
              <w:spacing w:before="0" w:after="283"/>
              <w:jc w:val="left"/>
              <w:rPr>
                <w:sz w:val="4"/>
                <w:szCs w:val="4"/>
              </w:rPr>
            </w:pPr>
            <w:r>
              <w:rPr>
                <w:sz w:val="4"/>
                <w:szCs w:val="4"/>
              </w:rPr>
            </w:r>
          </w:p>
        </w:tc>
        <w:tc>
          <w:tcPr>
            <w:tcW w:w="2415" w:type="dxa"/>
            <w:gridSpan w:val="2"/>
            <w:tcBorders/>
            <w:vAlign w:val="center"/>
          </w:tcPr>
          <w:p>
            <w:pPr>
              <w:pStyle w:val="TableContents"/>
              <w:bidi w:val="0"/>
              <w:spacing w:before="0" w:after="283"/>
              <w:jc w:val="left"/>
              <w:rPr>
                <w:sz w:val="4"/>
                <w:szCs w:val="4"/>
              </w:rPr>
            </w:pPr>
            <w:r>
              <w:rPr>
                <w:sz w:val="4"/>
                <w:szCs w:val="4"/>
              </w:rPr>
            </w:r>
          </w:p>
        </w:tc>
        <w:tc>
          <w:tcPr>
            <w:tcW w:w="346" w:type="dxa"/>
            <w:gridSpan w:val="2"/>
            <w:tcBorders/>
            <w:vAlign w:val="center"/>
          </w:tcPr>
          <w:p>
            <w:pPr>
              <w:pStyle w:val="TableContents"/>
              <w:bidi w:val="0"/>
              <w:spacing w:before="0" w:after="283"/>
              <w:jc w:val="left"/>
              <w:rPr>
                <w:sz w:val="4"/>
                <w:szCs w:val="4"/>
              </w:rPr>
            </w:pPr>
            <w:r>
              <w:rPr>
                <w:sz w:val="4"/>
                <w:szCs w:val="4"/>
              </w:rPr>
            </w:r>
          </w:p>
        </w:tc>
      </w:tr>
      <w:tr>
        <w:trPr/>
        <w:tc>
          <w:tcPr>
            <w:tcW w:w="193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40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95" w:type="dxa"/>
            <w:tcBorders/>
            <w:vAlign w:val="bottom"/>
          </w:tcPr>
          <w:p>
            <w:pPr>
              <w:pStyle w:val="TableContents"/>
              <w:bidi w:val="0"/>
              <w:spacing w:before="0" w:after="0"/>
              <w:jc w:val="both"/>
              <w:rPr>
                <w:rFonts w:ascii="Times New Roman" w:hAnsi="Times New Roman"/>
                <w:sz w:val="17"/>
              </w:rPr>
            </w:pPr>
            <w:r>
              <w:rPr>
                <w:rFonts w:ascii="Times New Roman" w:hAnsi="Times New Roman"/>
                <w:sz w:val="17"/>
              </w:rPr>
              <w:t>Emerging growth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both"/>
              <w:rPr/>
            </w:pPr>
            <w:r>
              <w:rPr/>
              <w:t>☒</w:t>
            </w:r>
          </w:p>
        </w:tc>
      </w:tr>
    </w:tbl>
    <w:p>
      <w:pPr>
        <w:pStyle w:val="TextBody"/>
        <w:bidi w:val="0"/>
        <w:spacing w:before="120" w:after="0"/>
        <w:jc w:val="both"/>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to Section 7(a)(2)(B) of the Securities Act. ☐ </w:t>
      </w:r>
    </w:p>
    <w:p>
      <w:pPr>
        <w:pStyle w:val="TextBody"/>
        <w:bidi w:val="0"/>
        <w:spacing w:before="120" w:after="0"/>
        <w:jc w:val="both"/>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115175"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if any jurisdiction where the offer or sale is not permitted. Subject to Completion, dated    , 2024. Shares Astera Labs, Inc. Common Stock This is an initial public offering of shares of common stock of Astera Labs, Inc. We are offering shares of our common stock. Prior to this offering, there has been no public market for our common stock. It is currently estimated that the initial public offering price will be between $ and $per share. We intend to apply to list our common stock on the Nasdaq Global Select Market under the symbol. We are an emerging growth company as defined under Section 2(a)(19) of the Securities Act of 1933, as amended, and, as such, we have elected to comply with certain reduced reporting requirements for this prospectus and may elect to do so in future filings. See Prospectus Summary Emerging Growth Company. Investing in our common stock involves a high degree of risk. See the section titled Risk Factors beginning on page 16 to read about factors you should consider before buying our common stock. Neither the Securities and Exchange Commission nor any other regulatory body has approved or disapproved of these securities or passed upon the accuracy or adequacy of this prospectus. Any representation to the contrary is a criminal offense. Initial public offering price Underwriting discount(1) Proceeds, before expenses, to us Per Share Total $ $ $ $ $ $ (1) See the section titled Underwriting for additional information regarding compensation payable to the underwriters. At our request, the underwriters have reserved up to      shares of common stock, or up to  % of the shares offered by this prospectus, for sale at the initial public offering price through a directed share program to our directors, business partners, and friends and family. See the section titled UnderwritingDirected Share Program. shares of common The underwriters have the option to purchase up to an additional stock from us at the initial public offering price, less the underwriting discount, for 30 days after the date of this prospectus. The underwriters expect to deliver the shares against payment in New York, New York on or about ,2024. MORGAN STANLEY J.P. MORGAN BARCLAYS DEUTSCHE BANK SECURITIES EVERCORE ISI JEFFERIES NEEDHAM &amp; COMPANY STIFEL CRAIG-HALLUM CAPITAL GROUP ROTH CAPITAL PARTNERS 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Astera at a Glance Shipping to All Major Hyperscalers and Al Platform Providers $116MM 2023 Revenue Millions of Devices Shipped Across Multiple Form Factors 3 Product Families Generating Revenue 265+ Employees Across 5 Countries Globally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10230" cy="5995035"/>
                <wp:effectExtent l="0" t="0" r="0" b="0"/>
                <wp:wrapSquare wrapText="right"/>
                <wp:docPr id="3" name="Frame1"/>
                <a:graphic xmlns:a="http://schemas.openxmlformats.org/drawingml/2006/main">
                  <a:graphicData uri="http://schemas.microsoft.com/office/word/2010/wordprocessingShape">
                    <wps:wsp>
                      <wps:cNvSpPr txBox="1"/>
                      <wps:spPr>
                        <a:xfrm>
                          <a:off x="0" y="0"/>
                          <a:ext cx="3110230" cy="599503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1"/>
                              <w:gridCol w:w="198"/>
                              <w:gridCol w:w="33"/>
                              <w:gridCol w:w="247"/>
                              <w:gridCol w:w="29"/>
                            </w:tblGrid>
                            <w:tr>
                              <w:trPr/>
                              <w:tc>
                                <w:tcPr>
                                  <w:tcW w:w="4391"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
                                    <w:r>
                                      <w:rPr>
                                        <w:rStyle w:val="InternetLink"/>
                                        <w:rFonts w:ascii="Times New Roman" w:hAnsi="Times New Roman"/>
                                        <w:sz w:val="20"/>
                                      </w:rPr>
                                      <w:t>PROSPECTUS SUMMARY</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2">
                                    <w:r>
                                      <w:rPr>
                                        <w:rStyle w:val="InternetLink"/>
                                        <w:rFonts w:ascii="Times New Roman" w:hAnsi="Times New Roman"/>
                                        <w:sz w:val="20"/>
                                      </w:rPr>
                                      <w:t>RISK FACTORS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17</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3">
                                    <w:r>
                                      <w:rPr>
                                        <w:rStyle w:val="InternetLink"/>
                                        <w:rFonts w:ascii="Times New Roman" w:hAnsi="Times New Roman"/>
                                        <w:sz w:val="20"/>
                                      </w:rPr>
                                      <w:t>SPECIAL NOTE REGARDING FORWARD-LOOKING STATEMENTS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54</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4">
                                    <w:r>
                                      <w:rPr>
                                        <w:rStyle w:val="InternetLink"/>
                                        <w:rFonts w:ascii="Times New Roman" w:hAnsi="Times New Roman"/>
                                        <w:sz w:val="20"/>
                                      </w:rPr>
                                      <w:t>INDUSTRY AND MARKET DATA</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56</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5">
                                    <w:r>
                                      <w:rPr>
                                        <w:rStyle w:val="InternetLink"/>
                                        <w:rFonts w:ascii="Times New Roman" w:hAnsi="Times New Roman"/>
                                        <w:sz w:val="20"/>
                                      </w:rPr>
                                      <w:t>USE OF PROCEEDS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57</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6">
                                    <w:r>
                                      <w:rPr>
                                        <w:rStyle w:val="InternetLink"/>
                                        <w:rFonts w:ascii="Times New Roman" w:hAnsi="Times New Roman"/>
                                        <w:sz w:val="20"/>
                                      </w:rPr>
                                      <w:t>DIVIDEND POLICY</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58</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7">
                                    <w:r>
                                      <w:rPr>
                                        <w:rStyle w:val="InternetLink"/>
                                        <w:rFonts w:ascii="Times New Roman" w:hAnsi="Times New Roman"/>
                                        <w:sz w:val="20"/>
                                      </w:rPr>
                                      <w:t>CAPITALIZATION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59</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8">
                                    <w:r>
                                      <w:rPr>
                                        <w:rStyle w:val="InternetLink"/>
                                        <w:rFonts w:ascii="Times New Roman" w:hAnsi="Times New Roman"/>
                                        <w:sz w:val="20"/>
                                      </w:rPr>
                                      <w:t>DILUTION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61</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9">
                                    <w:r>
                                      <w:rPr>
                                        <w:rStyle w:val="InternetLink"/>
                                        <w:rFonts w:ascii="Times New Roman" w:hAnsi="Times New Roman"/>
                                        <w:sz w:val="20"/>
                                      </w:rPr>
                                      <w:t>MANAGEMENTS DISCUSSION AND ANALYSIS OF FINANCIAL CONDITION AND RESULTS OF OPERATIONS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64</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9a">
                                    <w:r>
                                      <w:rPr>
                                        <w:rStyle w:val="InternetLink"/>
                                        <w:rFonts w:ascii="Times New Roman" w:hAnsi="Times New Roman"/>
                                        <w:sz w:val="20"/>
                                      </w:rPr>
                                      <w:t>A LETTER FROM OUR FOUNDERS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0">
                                    <w:r>
                                      <w:rPr>
                                        <w:rStyle w:val="InternetLink"/>
                                        <w:rFonts w:ascii="Times New Roman" w:hAnsi="Times New Roman"/>
                                        <w:sz w:val="20"/>
                                      </w:rPr>
                                      <w:t>BUSINESS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88</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1">
                                    <w:r>
                                      <w:rPr>
                                        <w:rStyle w:val="InternetLink"/>
                                        <w:rFonts w:ascii="Times New Roman" w:hAnsi="Times New Roman"/>
                                        <w:sz w:val="20"/>
                                      </w:rPr>
                                      <w:t>MANAGEMENT</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115</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2">
                                    <w:r>
                                      <w:rPr>
                                        <w:rStyle w:val="InternetLink"/>
                                        <w:rFonts w:ascii="Times New Roman" w:hAnsi="Times New Roman"/>
                                        <w:sz w:val="20"/>
                                      </w:rPr>
                                      <w:t>EXECUTIVE COMPENSATION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122</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2.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1"/>
                        <w:gridCol w:w="198"/>
                        <w:gridCol w:w="33"/>
                        <w:gridCol w:w="247"/>
                        <w:gridCol w:w="29"/>
                      </w:tblGrid>
                      <w:tr>
                        <w:trPr/>
                        <w:tc>
                          <w:tcPr>
                            <w:tcW w:w="4391"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
                              <w:r>
                                <w:rPr>
                                  <w:rStyle w:val="InternetLink"/>
                                  <w:rFonts w:ascii="Times New Roman" w:hAnsi="Times New Roman"/>
                                  <w:sz w:val="20"/>
                                </w:rPr>
                                <w:t>PROSPECTUS SUMMARY</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2">
                              <w:r>
                                <w:rPr>
                                  <w:rStyle w:val="InternetLink"/>
                                  <w:rFonts w:ascii="Times New Roman" w:hAnsi="Times New Roman"/>
                                  <w:sz w:val="20"/>
                                </w:rPr>
                                <w:t>RISK FACTORS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17</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3">
                              <w:r>
                                <w:rPr>
                                  <w:rStyle w:val="InternetLink"/>
                                  <w:rFonts w:ascii="Times New Roman" w:hAnsi="Times New Roman"/>
                                  <w:sz w:val="20"/>
                                </w:rPr>
                                <w:t>SPECIAL NOTE REGARDING FORWARD-LOOKING STATEMENTS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54</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4">
                              <w:r>
                                <w:rPr>
                                  <w:rStyle w:val="InternetLink"/>
                                  <w:rFonts w:ascii="Times New Roman" w:hAnsi="Times New Roman"/>
                                  <w:sz w:val="20"/>
                                </w:rPr>
                                <w:t>INDUSTRY AND MARKET DATA</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56</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5">
                              <w:r>
                                <w:rPr>
                                  <w:rStyle w:val="InternetLink"/>
                                  <w:rFonts w:ascii="Times New Roman" w:hAnsi="Times New Roman"/>
                                  <w:sz w:val="20"/>
                                </w:rPr>
                                <w:t>USE OF PROCEEDS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57</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6">
                              <w:r>
                                <w:rPr>
                                  <w:rStyle w:val="InternetLink"/>
                                  <w:rFonts w:ascii="Times New Roman" w:hAnsi="Times New Roman"/>
                                  <w:sz w:val="20"/>
                                </w:rPr>
                                <w:t>DIVIDEND POLICY</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58</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7">
                              <w:r>
                                <w:rPr>
                                  <w:rStyle w:val="InternetLink"/>
                                  <w:rFonts w:ascii="Times New Roman" w:hAnsi="Times New Roman"/>
                                  <w:sz w:val="20"/>
                                </w:rPr>
                                <w:t>CAPITALIZATION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59</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8">
                              <w:r>
                                <w:rPr>
                                  <w:rStyle w:val="InternetLink"/>
                                  <w:rFonts w:ascii="Times New Roman" w:hAnsi="Times New Roman"/>
                                  <w:sz w:val="20"/>
                                </w:rPr>
                                <w:t>DILUTION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61</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9">
                              <w:r>
                                <w:rPr>
                                  <w:rStyle w:val="InternetLink"/>
                                  <w:rFonts w:ascii="Times New Roman" w:hAnsi="Times New Roman"/>
                                  <w:sz w:val="20"/>
                                </w:rPr>
                                <w:t>MANAGEMENTS DISCUSSION AND ANALYSIS OF FINANCIAL CONDITION AND RESULTS OF OPERATIONS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64</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9a">
                              <w:r>
                                <w:rPr>
                                  <w:rStyle w:val="InternetLink"/>
                                  <w:rFonts w:ascii="Times New Roman" w:hAnsi="Times New Roman"/>
                                  <w:sz w:val="20"/>
                                </w:rPr>
                                <w:t>A LETTER FROM OUR FOUNDERS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86</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0">
                              <w:r>
                                <w:rPr>
                                  <w:rStyle w:val="InternetLink"/>
                                  <w:rFonts w:ascii="Times New Roman" w:hAnsi="Times New Roman"/>
                                  <w:sz w:val="20"/>
                                </w:rPr>
                                <w:t>BUSINESS</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88</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1">
                              <w:r>
                                <w:rPr>
                                  <w:rStyle w:val="InternetLink"/>
                                  <w:rFonts w:ascii="Times New Roman" w:hAnsi="Times New Roman"/>
                                  <w:sz w:val="20"/>
                                </w:rPr>
                                <w:t>MANAGEMENT</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115</w:t>
                            </w:r>
                          </w:p>
                        </w:tc>
                        <w:tc>
                          <w:tcPr>
                            <w:tcW w:w="29"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pPr>
                            <w:hyperlink w:anchor="rom285484_12">
                              <w:r>
                                <w:rPr>
                                  <w:rStyle w:val="InternetLink"/>
                                  <w:rFonts w:ascii="Times New Roman" w:hAnsi="Times New Roman"/>
                                  <w:sz w:val="20"/>
                                </w:rPr>
                                <w:t>EXECUTIVE COMPENSATION</w:t>
                              </w:r>
                            </w:hyperlink>
                          </w:p>
                        </w:tc>
                        <w:tc>
                          <w:tcPr>
                            <w:tcW w:w="198"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122</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6247130"/>
                <wp:effectExtent l="0" t="0" r="0" b="0"/>
                <wp:wrapSquare wrapText="right"/>
                <wp:docPr id="4" name="Frame2"/>
                <a:graphic xmlns:a="http://schemas.openxmlformats.org/drawingml/2006/main">
                  <a:graphicData uri="http://schemas.microsoft.com/office/word/2010/wordprocessingShape">
                    <wps:wsp>
                      <wps:cNvSpPr txBox="1"/>
                      <wps:spPr>
                        <a:xfrm>
                          <a:off x="0" y="0"/>
                          <a:ext cx="3175000" cy="624713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3">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132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4">
                                    <w:r>
                                      <w:rPr>
                                        <w:rStyle w:val="InternetLink"/>
                                        <w:rFonts w:ascii="Times New Roman" w:hAnsi="Times New Roman"/>
                                        <w:sz w:val="20"/>
                                      </w:rPr>
                                      <w:t>PRINCIPAL AND SELLING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137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7">
                                    <w:r>
                                      <w:rPr>
                                        <w:rStyle w:val="InternetLink"/>
                                        <w:rFonts w:ascii="Times New Roman" w:hAnsi="Times New Roman"/>
                                        <w:sz w:val="20"/>
                                      </w:rPr>
                                      <w:t>MATERIAL U.S. FEDERAL INCOME TAX CONSEQUENCES TO NON-U.S. HOLDERS OF OUR COMMON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154</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1">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2">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1.9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3">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132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4">
                              <w:r>
                                <w:rPr>
                                  <w:rStyle w:val="InternetLink"/>
                                  <w:rFonts w:ascii="Times New Roman" w:hAnsi="Times New Roman"/>
                                  <w:sz w:val="20"/>
                                </w:rPr>
                                <w:t>PRINCIPAL AND SELLING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137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5">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6">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7">
                              <w:r>
                                <w:rPr>
                                  <w:rStyle w:val="InternetLink"/>
                                  <w:rFonts w:ascii="Times New Roman" w:hAnsi="Times New Roman"/>
                                  <w:sz w:val="20"/>
                                </w:rPr>
                                <w:t>MATERIAL U.S. FEDERAL INCOME TAX CONSEQUENCES TO NON-U.S. HOLDERS OF OUR COMMON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149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8">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154</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19">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0">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1">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162</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85484_22">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b/>
          <w:sz w:val="20"/>
        </w:rPr>
      </w:pPr>
      <w:r>
        <w:rPr>
          <w:rFonts w:ascii="Times New Roman" w:hAnsi="Times New Roman"/>
          <w:b/>
          <w:sz w:val="20"/>
        </w:rPr>
        <w:t xml:space="preserve">Through and including     , 2024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 </w:t>
      </w:r>
    </w:p>
    <w:p>
      <w:pPr>
        <w:pStyle w:val="TextBody"/>
        <w:bidi w:val="0"/>
        <w:spacing w:before="240" w:after="0"/>
        <w:jc w:val="both"/>
        <w:rPr>
          <w:rFonts w:ascii="Times New Roman" w:hAnsi="Times New Roman"/>
          <w:sz w:val="20"/>
        </w:rPr>
      </w:pPr>
      <w:r>
        <w:rPr>
          <w:rFonts w:ascii="Times New Roman" w:hAnsi="Times New Roman"/>
          <w:sz w:val="20"/>
        </w:rPr>
        <w:t xml:space="preserve">You should rely only on the information contained in this prospectus, any amendment or supplement to this prospectus, or contained in any free writing prospectus filed by us with the Securities and Exchange Commission (the SEC). Neither we, the selling stockholders, nor any of the underwriters have authorized anyone to provide any information or make any representations other than those contained in this prospectus, any amendment or supplement to this prospectus, or in any free writing prospectus we have prepared. We, the selling stockholders, and the underwriters take no responsibility for, and can provide no assurance as to the reliability of, any other information that others may give you. We and the selling stockholders are offering to sell, and seeking offers to buy, shares of our common stock only in jurisdictions where offers and sales are permitted. The information contained in this prospectus, any amendment or supplement to this prospectus, or any free writing prospectus, is accurate only as of the date of this prospectus, regardless of the time of delivery of this prospectus, any amendment or supplement to this prospectus, or any applicable free writing prospectus, as the case may be, or of any sale of our common stock. Our business, financial condition, results of operations, and prospects may have changed since that date.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of the United States: we are offering to sell, and seeking offers to buy, shares of our common stock only in jurisdictions where offers and sales are permitted. Neither we, the selling stockholders, nor any of the underwriters have done anything that would permit this offering or possession or distribution of this prospectus, any amendment or supplement to this prospectus, or any applicable free writing prospectus in any jurisdiction where action for that purpose is required, other than in the United States. Persons outside of the United States who come into possession of this prospectus, any amendment or supplement to this prospectus, or any applicable free writing prospectus must inform themselves about, and observe any restrictions relating to, the offering of the shares of our common stock and the distribution of this prospectus, any amendment or supplement to this prospectus, or any applicable free writing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NON-GAAP FINANCIAL MEASURES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certain financial measures that are not presented in accordance with generally accepted accounting principles in the United States (GAAP), including non-GAAP operating (loss) income and non-GAAP net (loss) income, that are not required by, or prepared in accordance with, GAAP. We refer to these measures as non-GAAP financial measures. See the section titled Managements Discussion and Analysis of Financial Condition and Results of OperationsNon-GAAP Financial Measures for our definitions of these non-GAAP financial measures, information about how and why we use these non-GAAP financial measures and a reconciliation of each of these non-GAAP financial measures to its most directly comparable financial measure calculated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GLOSSARY OF CERTAIN TERMS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are abbreviations, acronyms, and definitions of certain terms used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ASICs means Application-Specific Integrated Circuits, custom-designed ICs for a specific purpose, offering better performance and efficiency compared to general-purpose ICs. ASICs are widely used in electronic devices, including smartphones, computers, and networking equipment. Hyperscalers have adopted custom ASICs to address the performance and scalability requirements of cloud and Artificial Intelligence (AI)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BIOS means Basic Input/Output System, a system software that initializes hardware and loads the operating system when a computer is turned on. It acts as an intermediary between the operating system and the computers hardware components.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BMC means Baseboard Management Controller, a specialized processor located on a computers motherboard that provides management capabilities, allowing remote monitoring, configuration, and troubleshooting of the system even if the operating system is unavailable. With BMCs, system administrators can monitor the hardware in a data center without physically being located or connected to the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CPU means Central Processing Unit, the brain of a computer, responsible for executing instructions and carrying out computations. It is a complex IC that fetches, decodes, and executes instructions, typically from main memory under the control of software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customers refers to our end customers, our end customers manufacturing partners, and our distributors. When the context requires, we may use end customers, which are primarily hyperscalers and System OEMs, to distinguish from our end customers manufacturing partners and our distributors. When used in our audited consolidated financial statements included elsewhere in this prospectus, customers refers to parties we directly invoice for products or services, which primarily include our end customers manufacturing partners and our distributors.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CXL means Compute Express Link, an industry standard interconnect that offers high-bandwidth, low-latency connectivity between a host processor and other ICs such as AI accelerators, memory expansion, and smart I/O devices. CXL maintains memory coherency between a processors memory and all attached devices, providing higher performance, lowering system costs and helping overcome memory-storage bottlenecks.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DDR5 means Double Data Rate 5 Synchronous Dynamic Random-Access Memory (DRAM), the latest generation of memory focused on increasing the density and capacity of Random-Access-Memory (RAM). DDR5 is designed to reduce power consumption while doubling bandwidth relative to its predecessor, DDR4. It is commonly used in the latest high-performance computers and servers.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DSP means Digital Signal Processor, a specialized IC that uses digital algorithms to perform functions that were traditionally performed by analog circuits, such as filtering, amplification, and modulation. Due to their digital nature, DSPs provide more robust and advanced signal processing power necessary for many applications such as video processing, imaging, and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Ethernet refers to a standardized network protocol used in a data center for connecting servers and switches together in a Local Area Network (LAN) over copper and optical cables. Ethernet cables support longer reach and can add security and diagnostic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FPGAs means Field Programmable Gate Arrays, a type of ICs that can be programmed and reconfigured by the customer after the manufacturing process. This allows designers to customize the ICs to meet specific use case requirements. FPGAs, due to their customizability, enable many cloud and AI use cases.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Gbps means gigabits per second.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GPU means Graphic Processing Unit, a specialized IC with a high degree of parallelism used to accelerate the rendering of complex graphics onto a screen. Due to their ability to perform a large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number of computations in parallel, GPUs often outperform CPUs and are increasingly being used for scientific computing, and for accelerating AI workloads such as training of large language models (LLMs).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GT/s means giga transfers per second.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HBM means High Bandwidth Memory, a type of computer memory designed to provide high bandwidth and low latency for GPUs, other AI accelerators, and CPUs. HBM is significantly faster and more expensive than traditional DRAM memory and is typically integrated within the IC package, allowing for shorter signal paths and faster data transfer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Hyperscalers refers to large technology companies that provide cloud computing services on a massive scale. They offer a wide range of services that are dynamically provisioned by their users on an as-needed basis using software. The services include, but are not limited to, computing infrastructure, software platforms, and, increasingly, AI model training and inferencing.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IC means an Integrated Circuit, a miniaturized electronic circuit that combines multiple transistor components and other elements into a single small package. ICs are the fundamental building blocks of modern electronics, and they are used in a wide variety of applications, including computers, servers, networking equipment, smartphones, automobiles, and medical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Mask refers to a template typically etched in glass or quartz, used in the IC manufacturing process to transfer a complex pattern of shapes onto a semiconductor wafer.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NIC means Network Interface Card, a hardware component that connects computers and servers to a network. NICs typically connect to the local server using PCIe protocol and convert data received from the server to Ethernet or another suitable protocol to be sent over a network.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PCB means Printed Circuit Board, a board made of insulating material with layers of conducting copper tracks used to connect components, including ICs, to one another forming an electronic circuit. PCBs offer a compact solution for containing and connecting all the necessary parts of electronic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PCIe means Peripheral Component Interconnect Express, a high-speed serial electronic data transfer technology widely used in servers. PCIe protocol is frequently used in several types of server interconnects in a data center including interconnects between CPUs, GPUs, other AI accelerators, storage devices, and NICs.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Server Rack refers to an open-frame cabinet of standard dimensions used to organize and house servers, networking equipment, power supplies, and other information technology (IT) hardware. A data center typically houses thousands of server racks interconnected by networking switches typically using Ethernet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Signal integrity refers to the measure of how accurately and reliably a signal can be transmitted from one point to another without distortion or corruption. It is a critical factor in the design and operation of electronic systems that operate at high speeds or over long distances. Electrical characteristics of high-speed signals may degrade due to channel insertion losses in PCBs or cables, reflections, crosstalk, and noise. ICs with specialized hardware and DSP techniques are used to restore the signal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SKU means Stock-Keeping Unit, a unique identifier for a product, typically assigned by a manufacturer. It is used as a unique identifier for a specific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SMC means System Management Controller, typically a microcontroller or an FPGA that is responsible for managing low-level system functions. These functions include power management, thermal management, and hardware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SSD means Solid State Drive, a type of storage device that uses ICs to store data persistently. SSDs contain no moving parts and can access large files quickly.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System OEM means a system Original Equipment Manufacturer, a company that produces finished products for resale, using parts or components from other companies. System OEMs play an important role in the supply chain and are one of our important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Tapeout refers to the completion of the design phase of an IC and transfer of the design into a digital format suitable for creation of Masks used in the semiconductor wafer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ToR means Top-of-Rack, a type of network switch that is typically installed at the top of a server rack in a data center. ToR switches are used to connect the servers in the rack to each other and to the rest of the network. They are typically high-performance switches that can handle significant data traffic.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TPU means Tensor Processing Unit, a custom accelerator designed and developed by Google. TPUs are optimized for AI applications and address the performance and scalability requirements of training and inference of large AI models.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rom285484_1"/>
      <w:bookmarkEnd w:id="3"/>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This summary contains forward-looking statements that involve risks and uncertainties. Unless the context otherwise requires, the terms Astera, the Company, we, us, and our in this prospectus refer to Astera Labs, Inc. and its consolidated subsidiaries.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ASTERA LABS, INC.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Mission Statement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mission is to innovate, design, and deliver semiconductor-based connectivity solutions that are purpose-built to unleash the full potential of cloud and AI infrastructure.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Building on years of experience with a singular focus on addressing connectivity challenges in data-centric systems, we have developed and deployed our leading Intelligent Connectivity Platform built from the ground up for cloud and AI infrastructure. Our Intelligent Connectivity Platform comprises: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 Semiconductor-based, high-speed, mixed-signal connectivity products that integrate a matrix of   microcontrollers and sensors; and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ii) COSMOS, our software suite which is embedded in our connectivity products and integrated into our customers systems.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ICs, boards, and modules.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AI touches many aspects of our daily lives today, from vision processing for autonomous vehicles to speech recognition systems for chatbots. According to IDC, by 2025, the Global 2000 organizations will allocate over 40% of their core IT spend to AI-related initiatives, leading to a double-digit increase in the rate of product and process innovations. The shift towards the cloud from on-premise computing is rapidly accelerating due to increasing demand for compute-intensive AI workloads that are truly optimized when deployed at cloud scale.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address the performance and scalability requirements of AI and other compute-intensive applications, hyperscalers have adopted heterogeneous, accelerated computing system architectures within their data centers, which include GPUs and other AI accelerators, such as TPUs, AI processors, custom ASICs, and FPGAs, to target specific workloads. These new system architectures require a connectivity backbone that is significantly faster, has lower latency, is robust, and supports cloud scale deployment.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patented software-defined platform approach delivers critical connectivity performance, enables flexibility and customization, and supports observability and predictive analytics. This approach efficiently addresses the data, network, and memory bottlenecks, scalability, and other unique infrastructure requirements of our hyperscaler and system OEM customers.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Based on trusted relationships with the leading hyperscalers and collaboration with data center infrastructure suppliers such as NVIDIA, Advanced Micro Devices, Intel, and many others, our platform is designed to meet our customers unique cloud scale requirements. Our COSMOS software suite is foundational to our Intelligent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Connectivity Platform and is designed to enable our customers to seamlessly configure, manage, monitor, optimize, troubleshoot, and customize functions in our IC, board, and module products.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that our Intelligent Connectivity Platform addresses a large and growing total addressable market (TAM) of $17.2 billion. Specifically, our technology and product portfolios target the global wired connectivity market, including PCIe and Ethernet, and the CXL memory connectivity controller market. We believe that our TAM will grow to $27.4 billion by 2027, and we expect to address an increasing share of this TAM as we expand the breadth and depth of our product portfolio. See the section titled BusinessOur Market Opportunity for additional information on how we calculate our TAM.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Today, our connectivity solutions are at the heart of major AI platforms deployed worldwide featuring both commercially available GPUs and proprietary AI accelerators. In the last four years, we have successfully introduced three revenue-generating product families across multiple form factors including ICs, boards, and modules, shipping millions of devices across all of the major hyperscalers. Our products, which include Aries PCIe®/CXL Smart DSP Retimers (Aries), Taurus Ethernet Smart Cable Modules (Taurus), and Leo CXL Memory Connectivity Controllers (Leo), leverage our ICs that are built upon industry standard connectivity protocols such as PCIe, Ethernet, and CXL to address the growing demand for purpose-built connectivity solutions that solve critical data, network, and memory bottlenecks inherent in cloud and AI infrastructure.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Since our inception, we have created and commercialized first-to-market PCIe, Ethernet, and CXL products, and, with more than 300 design wins, we have become a trusted partner and a proven supplier to our hyperscaler and system OEM customers. We have experienced strong growth since our founding in October 2017, and particularly since the commercial launch of Aries in 2020. Our revenue grew from $79.9 million in 2022 to $115.8 million in 2023, driven by a significant increase in demand for our products. We have made significant investments in the design and development of new products and platform enhancements, and, as a result, we have a history of net losses and have not yet achieved profitability on an annual basis. We incurred net losses of $58.3 million in 2022 and $26.3 million in 2023. As of December 31, 2022 and 2023, we had an accumulated deficit of $99.1 million and $125.4 million, respectively. During the years ended December 31, 2022 and 2023, our cash used in operating activities was $35.9 million and $12.7 million, respectively.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Background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Proliferation of Cloud Computing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Over the past decade, we have witnessed the rapid global adoption of cloud computing. This shift towards the cloud is rapidly accelerating due to increasing demand for compute-intensive AI workloads that are truly optimized only when deployed at cloud scale. The transition to the cloud has been fueled by the unparalleled ease, flexibility, and security of deploying computing resources at scale, with minimal upfront required capital investment by users.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Cloud infrastructure requires highly customized integration. Hyperscalers, which include public cloud service providers such as Amazon Web Services (AWS), Google Cloud Platform (GCP), and Microsoft Azure, are diverse and complex. Hyperscalers also include large organizations, such as Meta, and their infrastructure is highly optimized for proprietary workloads that run in their private clouds.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proliferation of cloud computing has resulted in several important changes in the semiconductor ecosystem as hyperscalers seek to provide differentiated solutions to their users.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As such, hyperscalers are: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differentiating with custom hardware and processors;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redefining the technology roadmaps and supply chain requirements of their semiconductor suppliers;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laser-focused on server uptime, scaling, and fleet reliability;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committed to green data centers and environmental sustainability.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Artificial Intelligence is the Era-Defining Technology Driving the Next Generation of Cloud Infrastructure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AI touches many aspects of our daily lives today. According to IDC, by 2025, the Global 2000 organizations will allocate over 40% of their core IT spend to AI-related initiatives, leading to a double-digit increase in the rate of product and process innovations.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Recent Generative AI (GenAI) advances, as demonstrated by the launch of ChatGPT by OpenAI in late 2022, have shown the unprecedented capabilities and immense potential for training LLMs to enhance applications across industries. However, these AI models continue to increase in size and complexity. Given their massive need for computing, GenAI is only practical at cloud scale.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address the performance and scalability requirements of AI and other compute-intensive applications, hyperscalers have adopted heterogeneous, accelerated computing architectures to target specific workloads. AI accelerators such as GPUs, TPUs, and FPGAs, with their massively parallel compute engines and high bandwidth connectivity to memory and data, are foundational to the AI infrastructure. To address increasingly larger and more complex AI workloads, hyperscalers interconnect tens of thousands of GPUs and other AI accelerators that process workloads in parallel across thousands of servers to increase system compute capacity.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Existing Connectivity Solutions are Inadequate to Deploy AI Infrastructure at Cloud Scale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GPUs and other AI accelerators are often the most expensive and scarce part of data centers. AI accelerators are efficient at computing, challenging the rest of the cloud and AI infrastructure to effectively transport data to and from them to maximize their utilization. However, GPUs and other AI accelerators often sit idle waiting for data to become available. Increasing the utilization of AI hardware presents a large challenge as well as a massive opportunity for connectivity suppliers.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Purpose-built connectivity solutions that connect GPUs and other AI accelerators with each other directly or between servers are required to unleash AI accelerators full potential at cloud scale and solve the following critical data, network, and memory bottlenecks: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Data and network bandwidth bottlenecks</w:t>
      </w:r>
      <w:r>
        <w:rPr>
          <w:rFonts w:ascii="Times New Roman" w:hAnsi="Times New Roman"/>
          <w:sz w:val="20"/>
          <w:bdr w:val="single" w:sz="8" w:space="1" w:color="000000"/>
        </w:rPr>
        <w:t xml:space="preserve">. The connectivity between GPUs, other AI accelerators, CPUs, storage devices, and networking subsystems in an AI platform must deliver ever-increasing bandwidth.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Exploding signal integrity challenges</w:t>
      </w:r>
      <w:r>
        <w:rPr>
          <w:rFonts w:ascii="Times New Roman" w:hAnsi="Times New Roman"/>
          <w:sz w:val="20"/>
          <w:bdr w:val="single" w:sz="8" w:space="1" w:color="000000"/>
        </w:rPr>
        <w:t xml:space="preserve">. Data transfer rates across all protocols have been rapidly growing to support compute-intensive workloads, and the physical size of AI server clusters has grown as well, compounding the signal integrity problem.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Memory wall</w:t>
      </w:r>
      <w:r>
        <w:rPr>
          <w:rFonts w:ascii="Times New Roman" w:hAnsi="Times New Roman"/>
          <w:sz w:val="20"/>
          <w:bdr w:val="single" w:sz="8" w:space="1" w:color="000000"/>
        </w:rPr>
        <w:t xml:space="preserve">. CPU performance has outpaced the ability for memory subsystems to provide CPUs with data and memory access, thereby limiting computing performance. Memory-intensive applications, such as AI, require ultra-fast memory bandwidth and significant memory capacity that must be simultaneously accessible by other AI accelerators in a cluster.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Interconnect reliability and observability</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When a single server or a single AI accelerator fails, or the network connecting them does not transfer data reliably, the entire AI server cluster will typically stop, re-synchronize, and restart, reducing infrastructure utilization, and increasing the time and cost required to train AI models.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Cloud and AI infrastructure diversity drives connectivity solution complexity</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Hyperscalers optimize their cloud infrastructure to meet the unique requirements of their users and internal business models. This requires customization and flexibility to support a wide range of use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The bottleneck for AI deployments in the cloud has shifted from computing performance to connectivity. We believe a new approach for connectivity is required to address the data, network, and memory bottlenecks in a reliable, scalable, customizable, and interoperable manner for cloud and AI infrastructure.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Solution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patented software-defined Intelligent Connectivity Platform delivers critical connectivity performance, enables flexibility and customization, and supports observability and predictive analytics. We enhance the value of our platform with our Interoperability Lab (Interop Lab), where we validate performance and interoperability between our connectivity products and other data center infrastructure suppliers products in real-world scenarios.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Products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the last four years, we have successfully introduced three revenue-generating product families across multiple form factors including ICs, boards, and modules that are built upon our software-defined IC architecture: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Aries PCIe®/CXL</w:t>
      </w:r>
      <w:r>
        <w:rPr>
          <w:rFonts w:ascii="Times New Roman" w:hAnsi="Times New Roman"/>
          <w:sz w:val="20"/>
          <w:bdr w:val="single" w:sz="8" w:space="1" w:color="000000"/>
        </w:rPr>
        <w:t xml:space="preserve"> </w:t>
      </w:r>
      <w:r>
        <w:rPr>
          <w:rFonts w:ascii="Times New Roman" w:hAnsi="Times New Roman"/>
          <w:b/>
          <w:i/>
          <w:sz w:val="20"/>
          <w:bdr w:val="single" w:sz="8" w:space="1" w:color="000000"/>
        </w:rPr>
        <w:t>Smart DSP Retimers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Aries products, which include our COSMOS software suite, are essential to enable higher PCIe/CXL data bandwidth and lower latency interconnectivity between various heterogeneous compute processors, storage, and network controllers. Aries digitally recovers degraded high-speed signals and retransmits a clean copy of the data, thereby extending the reach of existing cost-effective interconnects, while enabling higher data bandwidth.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Taurus Ethernet Smart Cable Modules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Taurus products are hardware modules based on our Taurus ICs that increase network connectivity bandwidth between servers and switches over copper media. Taurus modules incorporate our COSMOS software suite and extend Ethernet signaling reach at higher data rates, providing cost-effective, rack-level network connectivity for cloud and AI infrastructure, removing rack-level Ethernet connectivity bottlenecks.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Leo CXL Memory Connectivity Controllers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Leo products allow our customers to overcome processor memory bandwidth bottlenecks and capacity limitations, while leveraging our COSMOS software suites built-in memory management and deep diagnostic capabilities. Leo ICs and boards enable expanding, sharing, and pooling of industry standard DRAM memory over high-speed serial links to support memory-intensive workloads running on AI accelerators and CPUs.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COSMOS Software Suite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COnnectivity System Management and Optimization Software, or COSMOS software suite, is foundational to our Intelligent Connectivity Platform. COSMOS is designed to enable our hyperscaler customers to seamlessly configure, manage, monitor, optimize, troubleshoot, and customize functions in our IC, board, and module products. COSMOS has a software component that operates on our customers BMC, SMC, BIOS, and/or operating system, and interfaces with other COSMOS software components running on microcontrollers integrated into our ICs, boards, and modules.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software suite provides three distinct capabilities to our customers: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Link Management</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A critical purpose of COSMOS is to ensure secure and robust data link communication between devices in a computing system.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Fleet Management</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COSMOS allows real-time monitoring of and predictive maintenance for server fleets. Data from device-level software components is communicated to platform-level software to provide fleet-level insights and analytics.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b/>
          <w:i/>
          <w:sz w:val="20"/>
          <w:bdr w:val="single" w:sz="8" w:space="1" w:color="000000"/>
        </w:rPr>
        <w:t>Reliability, Availability, Serviceability (RAS)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COSMOS enables RAS capabilities by detecting, reporting, and testing the data, network, and memory links supported by our product families. Software components on our ICs report telemetry data to allow for performance monitoring, error detection, and correction.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COSMOS improves our products over time by giving our customers new features, enhancements, and critical updates.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Industry-Trusted Cloud Scale Interoperability Lab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built and deployed our industry-trusted cloud scale Interop Lab and developed comprehensive interoperability test suites.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leading Intelligent Connectivity Platform is performant for the most demanding cloud and AI applications, provides customizable products for different hyperscalers, is reliable at cloud scale, and we believe it increases value to our customers over time.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Key Customer Benefits of Our Intelligent Connectivity Platform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Intelligent Connectivity Platform provides our customers with the ability to deploy and operate high-performance cloud and AI infrastructure at scale, addressing an increasingly diverse set of requirements.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Superior connectivity performance critical for the next generation of cloud and AI infrastructure</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developed our purpose-built Intelligent Connectivity Platform to deliver high bandwidth and low latency connectivity at significant scale, enabling the deployment of the next generation of cloud infrastructure critical for data-centric workloads such as AI.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Seamless deployment through customizable products, utilizing our customer Platform Specific Standard Product (PSSP) model</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software-defined connectivity platform is highly customizable to address the unique needs of each hyperscaler, which enables our hyperscaler customers to seamlessly provide differentiated solutions to their users without compromising on performance, features, or cost.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Robust reliability, quality-of-service (QoS), and software management capabilities facilitate deployment at scale</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platform provides (i) robust signal integrity to overcome increasing channel insertion loss as connectivity speeds increase, (ii) server-grade RAS support, and (iii) sophisticated link telemetry features that enable signal monitoring for QoS.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Real-time link monitoring for fleet health management and improved user experience</w:t>
      </w:r>
      <w:r>
        <w:rPr>
          <w:rFonts w:ascii="Times New Roman" w:hAnsi="Times New Roman"/>
          <w:i/>
          <w:sz w:val="20"/>
          <w:bdr w:val="single" w:sz="8" w:space="1" w:color="000000"/>
        </w:rPr>
        <w:t>.</w:t>
      </w:r>
      <w:r>
        <w:rPr>
          <w:rFonts w:ascii="Times New Roman" w:hAnsi="Times New Roman"/>
          <w:sz w:val="20"/>
          <w:bdr w:val="single" w:sz="8" w:space="1" w:color="000000"/>
        </w:rPr>
        <w:t xml:space="preserve"> Link health monitors embedded in our products and software algorithms implemented in our COSMOS software suite provide rich insights into the health, performance, and utilization of interconnects for predictive maintenance, as well as for the reassignment of user workloads to healthy hardware for improved user experience.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Platform optionality and supply chain flexibility</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Intelligent Connectivity Platform supports multiple cloud and AI compute platforms, which incorporate a mix of GPUs, other AI accelerators, and CPUs. This enables our customers to seamlessly port their connectivity architectures across multiple system platforms featuring processors from different suppliers, including proprietary in-house processors from hyperscalers.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Multiple form factors expand deployment options and accelerate time-to-market</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provide our connectivity products in various form factors including ICs, boards, and modules. We strive to ensure that our products optimally perform across form factors, which enables our customers to adapt their product sourcing plans with us to support their dynamic system requirements and quickly deploy multiple architectural topologies across their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b/>
          <w:i/>
          <w:sz w:val="20"/>
          <w:bdr w:val="single" w:sz="8" w:space="1" w:color="000000"/>
        </w:rPr>
        <w:t>Accelerated time-to-market improves return-on-investment (ROI) for hyperscalers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believe we enable our hyperscaler customers to offer the latest and largest AI models to their users faster than their peers, which is critical for hyperscalers to retain and grow their user bases.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Improved utilization of cloud and AI infrastructure lowers total cost of ownership (TCO)</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Intelligent Connectivity Platform enables increased utilization of expensive GPUs and other AI accelerators, unlocks scalable memory expansion, and provides greater system uptime to lower the total cost of system ownership for hyperscalers, improving the value proposition that they can provide for their users.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Green data centers and environmental sustainability</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Intelligent Connectivity Platform increases power efficiency by increasing bandwidth over existing interconnects such as copper cables thereby reducing energy requirements compared to optical cables. We further enable environmental sustainability by extending the useful life and reuse of our customers existing hardware, which includes copper media.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Customer Flywheel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use our deep technical expertise and ability to innovate and tailor our products to meet each hyperscalers exacting needs. As a result, our business sees a powerful flywheel effect, which creates additional demand for existing products and enables us to bring additional new products to market in close relationships with our customers.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Our customer PSSP business model enables symbiotic customer relationships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Based on the unique requirements of each customer, our software-defined platform architecture allows us to rapidly develop our standard products and gives us the flexibility to make modifications, customizations, and upgrades, even after deployment.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Our cloud scale Interop Lab enables rigorous testing for interoperability within the data center infrastructure ecosystem</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focus on ensuring interoperability for our products allows our customers to deploy them with confidence and elevates our position as a trusted partner.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Our deep system level visibility into critical components in the data center</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COSMOS software suite enables deep visibility into the performance and limitations of cloud and AI infrastructure, providing us with a pathway to continuously improve our products and increase the value that they provide to our customers.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Natural partner for implementing generational upgrades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COSMOS software suite allows customizations through link management, fleet management, and RAS to meet unique customer requirements. When coupled with our leading connectivity products, this makes us a trusted partner for hyperscalers when they need to implement generational upgrades.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customer flywheel creates a virtuous cycle where we gain more insight from existing deployments and translate them into hardware and software feature upgrades for our product families, thereby continuously improving our Intelligent Connectivity Platform.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sell our products both through distributors and directly to end customers and their manufacturing partners. We are the primary interface with our hyperscaler, system OEM customers and their manufacturing partners whose requirements help drive the design of our solutions. Presently most of our direct revenue comes from distributors who operate as logistics and order fulfillment service providers to our customers.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Strengths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our singular focus on cloud and AI connectivity, our software-defined platform architecture, and our system-level approach fortify our customer relationships, which are reinforced with each generational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upgrade and new product family introduction, creating our durable competitive moat. Our competitive strengths include: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Singular focus on cloud and AI connectivity</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comprehensive suite of PCIe, Ethernet, and CXL products are built from the ground-up to address the data, network, and memory bottlenecks of accelerated computing at cloud scale. Our singular focus on cloud and AI infrastructure provides us with a deep understanding of our customers needs and our products deliver optimal performance essential for their deployment.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Software-defined IC architecture and COSMOS software suite underpins our connectivity products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software-defined platform architecture, which extends from our IC designs to our COSMOS software suite, optimizes time-to-market and allows us to easily customize our products to match the unique performance and functional requirements of our customers. This approach allows for an accelerated design process, with faster time-to-sample, and greater levels of flexibility and customization compared to traditional hardware-centric approaches. This makes us an ideal partner for hyperscalers when they need to implement generational upgrades, fortifying our position and strengthening our competitive moat.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System-level approach to purpose-built product families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provide a complete platform consisting of ICs, boards, and modules coupled with software and interoperability reports that ensure ease of integration and customer adoption.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 xml:space="preserve">First mover advantage provides early insight into evolving customer needs. </w:t>
      </w:r>
      <w:r>
        <w:rPr>
          <w:rFonts w:ascii="Times New Roman" w:hAnsi="Times New Roman"/>
          <w:sz w:val="20"/>
          <w:bdr w:val="single" w:sz="8" w:space="1" w:color="000000"/>
        </w:rPr>
        <w:t xml:space="preserve">We have created and commercialized first-to-market PCIe, Ethernet, and CXL products, and with more than 300 design wins, we have become a trusted partner and a proven supplier to our hyperscaler and system OEM customers. As a result, we gain extensive insight from existing deployments and translate them into new product opportunities.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Cloud-based IC research and development fuels our continued innovation</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were born in the cloud, with our research and development located in the public cloud. By harnessing the scale of cloud computing, we believe we improve quality, reduce development costs, and accelerate speed of execution, which allows us to get to market faster than traditional semiconductor companies.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Broad and deep relationships across the entire data center infrastructure ecosystem</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have developed deep relationships through our Interop Lab as well as from our products being integrated into reference and/or commercial designs provided by industry leaders within the data center infrastructure ecosystem.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Robust supply chain designed to serve hyperscaler customers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believe we have built a robust and resilient supply chain that will meet the demand profile of hyperscalers. We have a strong manufacturing relationship with Taiwan Semiconductor Manufacturing Company Limited (TSMC), and we qualify multiple suppliers and vendors, enabling us to better weather potential unforeseen supply chain disruptions.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Experienced management team with a proven track record of execution and innovation</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Our founding team has spent the last three decades developing and commercializing connectivity products. Over the last four years, we have introduced products at a steady cadence with leading PCIe, Ethernet, and CXL solutions.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Growth Strategies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Today, our connectivity solutions are at the heart of major AI platforms deployed worldwide, featuring both commercially available GPUs and proprietary AI accelerators. We have become a trusted partner and a proven supplier to our hyperscaler and system OEM customers. Building on this foundation, the strategic tenets of our growth strategy include: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Increase sales to our existing customers as cloud and AI workloads continue to grow exponentially</w:t>
      </w:r>
      <w:r>
        <w:rPr>
          <w:rFonts w:ascii="Times New Roman" w:hAnsi="Times New Roman"/>
          <w:i/>
          <w:sz w:val="20"/>
          <w:bdr w:val="single" w:sz="8" w:space="1" w:color="000000"/>
        </w:rPr>
        <w:t>. </w:t>
      </w:r>
      <w:r>
        <w:rPr>
          <w:rFonts w:ascii="Times New Roman" w:hAnsi="Times New Roman"/>
          <w:sz w:val="20"/>
          <w:bdr w:val="single" w:sz="8" w:space="1" w:color="000000"/>
        </w:rPr>
        <w:t xml:space="preserve">We have established a leading market position with Aries, which is deployed across all of the major hyperscalers and system OEMs platforms, and we expect to drive future growth as our customers ramp up their platform deployments. Our Taurus and Leo product families are expected to further expand sales to our current customers as they complete technical qualification and are deployed across our customers cloud and AI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b/>
          <w:i/>
          <w:sz w:val="20"/>
          <w:bdr w:val="single" w:sz="8" w:space="1" w:color="000000"/>
        </w:rPr>
        <w:t>Increase our revenue-per-server-rack with generational upgrades and new products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continue to invest in the development of new products and technologies that will address new types of functionalities, and span additional form factors across new types of media: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 xml:space="preserve">Generational upgrades drive increasing value for our product families </w:t>
            </w:r>
            <w:r>
              <w:rPr>
                <w:rFonts w:ascii="Times New Roman" w:hAnsi="Times New Roman"/>
                <w:sz w:val="20"/>
              </w:rPr>
              <w:t xml:space="preserve"> As the industry deploys next-generation protocols, we will provide updates to our product families, which we expect will drive an increase in our value proposition and enhance our revenue on a like-for-like basis compared to prior product generations.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Increase in attach rates</w:t>
            </w:r>
            <w:r>
              <w:rPr>
                <w:rFonts w:ascii="Times New Roman" w:hAnsi="Times New Roman"/>
                <w:sz w:val="20"/>
              </w:rPr>
              <w:t xml:space="preserve">  We anticipate an increase in attach rates for our product families in next-generation system topologies due to higher data rates, larger physical system footprints, and greater memory bandwidth and capacity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Develop new products to service emerging opportunities</w:t>
            </w:r>
            <w:r>
              <w:rPr>
                <w:rFonts w:ascii="Times New Roman" w:hAnsi="Times New Roman"/>
                <w:sz w:val="20"/>
              </w:rPr>
              <w:t xml:space="preserve">  As cloud and AI infrastructure requirements scale, we foresee emerging use cases that require new functionalities, which we plan to address with additional product families. </w:t>
            </w:r>
          </w:p>
        </w:tc>
      </w:tr>
    </w:tbl>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Shape</w:t>
      </w:r>
      <w:r>
        <w:rPr>
          <w:rFonts w:ascii="Times New Roman" w:hAnsi="Times New Roman"/>
          <w:sz w:val="20"/>
          <w:bdr w:val="single" w:sz="8" w:space="1" w:color="000000"/>
        </w:rPr>
        <w:t xml:space="preserve"> </w:t>
      </w:r>
      <w:r>
        <w:rPr>
          <w:rFonts w:ascii="Times New Roman" w:hAnsi="Times New Roman"/>
          <w:b/>
          <w:i/>
          <w:sz w:val="20"/>
          <w:bdr w:val="single" w:sz="8" w:space="1" w:color="000000"/>
        </w:rPr>
        <w:t>emerging</w:t>
      </w:r>
      <w:r>
        <w:rPr>
          <w:rFonts w:ascii="Times New Roman" w:hAnsi="Times New Roman"/>
          <w:sz w:val="20"/>
          <w:bdr w:val="single" w:sz="8" w:space="1" w:color="000000"/>
        </w:rPr>
        <w:t xml:space="preserve"> </w:t>
      </w:r>
      <w:r>
        <w:rPr>
          <w:rFonts w:ascii="Times New Roman" w:hAnsi="Times New Roman"/>
          <w:b/>
          <w:i/>
          <w:sz w:val="20"/>
          <w:bdr w:val="single" w:sz="8" w:space="1" w:color="000000"/>
        </w:rPr>
        <w:t>connectivity</w:t>
      </w:r>
      <w:r>
        <w:rPr>
          <w:rFonts w:ascii="Times New Roman" w:hAnsi="Times New Roman"/>
          <w:sz w:val="20"/>
          <w:bdr w:val="single" w:sz="8" w:space="1" w:color="000000"/>
        </w:rPr>
        <w:t xml:space="preserve"> </w:t>
      </w:r>
      <w:r>
        <w:rPr>
          <w:rFonts w:ascii="Times New Roman" w:hAnsi="Times New Roman"/>
          <w:b/>
          <w:i/>
          <w:sz w:val="20"/>
          <w:bdr w:val="single" w:sz="8" w:space="1" w:color="000000"/>
        </w:rPr>
        <w:t>standards</w:t>
      </w:r>
      <w:r>
        <w:rPr>
          <w:rFonts w:ascii="Times New Roman" w:hAnsi="Times New Roman"/>
          <w:sz w:val="20"/>
          <w:bdr w:val="single" w:sz="8" w:space="1" w:color="000000"/>
        </w:rPr>
        <w:t xml:space="preserve"> </w:t>
      </w:r>
      <w:r>
        <w:rPr>
          <w:rFonts w:ascii="Times New Roman" w:hAnsi="Times New Roman"/>
          <w:b/>
          <w:i/>
          <w:sz w:val="20"/>
          <w:bdr w:val="single" w:sz="8" w:space="1" w:color="000000"/>
        </w:rPr>
        <w:t>to</w:t>
      </w:r>
      <w:r>
        <w:rPr>
          <w:rFonts w:ascii="Times New Roman" w:hAnsi="Times New Roman"/>
          <w:sz w:val="20"/>
          <w:bdr w:val="single" w:sz="8" w:space="1" w:color="000000"/>
        </w:rPr>
        <w:t xml:space="preserve"> </w:t>
      </w:r>
      <w:r>
        <w:rPr>
          <w:rFonts w:ascii="Times New Roman" w:hAnsi="Times New Roman"/>
          <w:b/>
          <w:i/>
          <w:sz w:val="20"/>
          <w:bdr w:val="single" w:sz="8" w:space="1" w:color="000000"/>
        </w:rPr>
        <w:t>drive</w:t>
      </w:r>
      <w:r>
        <w:rPr>
          <w:rFonts w:ascii="Times New Roman" w:hAnsi="Times New Roman"/>
          <w:sz w:val="20"/>
          <w:bdr w:val="single" w:sz="8" w:space="1" w:color="000000"/>
        </w:rPr>
        <w:t xml:space="preserve"> </w:t>
      </w:r>
      <w:r>
        <w:rPr>
          <w:rFonts w:ascii="Times New Roman" w:hAnsi="Times New Roman"/>
          <w:b/>
          <w:i/>
          <w:sz w:val="20"/>
          <w:bdr w:val="single" w:sz="8" w:space="1" w:color="000000"/>
        </w:rPr>
        <w:t>future</w:t>
      </w:r>
      <w:r>
        <w:rPr>
          <w:rFonts w:ascii="Times New Roman" w:hAnsi="Times New Roman"/>
          <w:sz w:val="20"/>
          <w:bdr w:val="single" w:sz="8" w:space="1" w:color="000000"/>
        </w:rPr>
        <w:t xml:space="preserve"> </w:t>
      </w:r>
      <w:r>
        <w:rPr>
          <w:rFonts w:ascii="Times New Roman" w:hAnsi="Times New Roman"/>
          <w:b/>
          <w:i/>
          <w:sz w:val="20"/>
          <w:bdr w:val="single" w:sz="8" w:space="1" w:color="000000"/>
        </w:rPr>
        <w:t>product</w:t>
      </w:r>
      <w:r>
        <w:rPr>
          <w:rFonts w:ascii="Times New Roman" w:hAnsi="Times New Roman"/>
          <w:sz w:val="20"/>
          <w:bdr w:val="single" w:sz="8" w:space="1" w:color="000000"/>
        </w:rPr>
        <w:t xml:space="preserve"> </w:t>
      </w:r>
      <w:r>
        <w:rPr>
          <w:rFonts w:ascii="Times New Roman" w:hAnsi="Times New Roman"/>
          <w:b/>
          <w:i/>
          <w:sz w:val="20"/>
          <w:bdr w:val="single" w:sz="8" w:space="1" w:color="000000"/>
        </w:rPr>
        <w:t>adoption</w:t>
      </w:r>
      <w:r>
        <w:rPr>
          <w:rFonts w:ascii="Times New Roman" w:hAnsi="Times New Roman"/>
          <w:i/>
          <w:sz w:val="20"/>
          <w:bdr w:val="single" w:sz="8" w:space="1" w:color="000000"/>
        </w:rPr>
        <w:t>.</w:t>
      </w:r>
      <w:r>
        <w:rPr>
          <w:rFonts w:ascii="Times New Roman" w:hAnsi="Times New Roman"/>
          <w:sz w:val="20"/>
          <w:bdr w:val="single" w:sz="8" w:space="1" w:color="000000"/>
        </w:rPr>
        <w:t xml:space="preserve"> As generational advancements in standard connectivity protocols emerge, we believe our proactive involvement with data center infrastructure ecosystem participants will enable us to grow our product offerings, ensuring sustained and robust growth.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Attract and acquire new and emerging customers focused on AI</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foresee emerging demand from companies that provide infrastructure for AI use cases, AI-dedicated data centers, and larger enterprises, as they begin to build systems to meet their unique requirements.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Leverage our differentiated products and technologies into new data intensive end-markets</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We believe that the products and technologies that we have developed can be leveraged for different use cases in adjacent growth markets for data-intensive applications such as wireless communications infrastructure and automotive. </w:t>
      </w:r>
    </w:p>
    <w:p>
      <w:pPr>
        <w:pStyle w:val="TextBody"/>
        <w:bidi w:val="0"/>
        <w:spacing w:before="120" w:after="0"/>
        <w:jc w:val="both"/>
        <w:rPr>
          <w:rFonts w:ascii="Times New Roman" w:hAnsi="Times New Roman"/>
          <w:sz w:val="20"/>
          <w:bdr w:val="single" w:sz="8" w:space="1" w:color="000000"/>
        </w:rPr>
      </w:pPr>
      <w:r>
        <w:rPr>
          <w:rFonts w:ascii="Times New Roman" w:hAnsi="Times New Roman"/>
          <w:b/>
          <w:i/>
          <w:sz w:val="20"/>
          <w:bdr w:val="single" w:sz="8" w:space="1" w:color="000000"/>
        </w:rPr>
        <w:t>Selectively pursue strategic investments or acquisitions to enhance our competitive positioning</w:t>
      </w:r>
      <w:r>
        <w:rPr>
          <w:rFonts w:ascii="Times New Roman" w:hAnsi="Times New Roman"/>
          <w:i/>
          <w:sz w:val="20"/>
          <w:bdr w:val="single" w:sz="8" w:space="1" w:color="000000"/>
        </w:rPr>
        <w:t xml:space="preserve">. </w:t>
      </w:r>
      <w:r>
        <w:rPr>
          <w:rFonts w:ascii="Times New Roman" w:hAnsi="Times New Roman"/>
          <w:sz w:val="20"/>
          <w:bdr w:val="single" w:sz="8" w:space="1" w:color="000000"/>
        </w:rPr>
        <w:t xml:space="preserve">Although we expect to focus our growth strategies on organic expansion, we may pursue future investments or acquisitions that complement our Intelligent Connectivity Platform.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and uncertainties that you should consider before investing in our common stock. These risks are described more fully in the section titled Risk Factors immediately following this prospectus summary. These risks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sustain our growth rate, and we may not be able to manage future growth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a history of generating net losses, and if we are unable to achieve adequate revenue growth while our expenses increase, we may not maintain profitability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a limited operating history, and we may have difficulty accurately predicting our future revenue for the purpose of appropriately budgeting and adjusting our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unsuccessful in anticipating and responding to new market trends and evolving industry standards, developing and selling new products, or penetrating new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substantial portion of our revenue is driven by a limited number of our end customers, and the loss of, or a significant reduction in, demand from one or a few of our top end customers would adversely affect our operations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fail to achieve design wins for our products, we may lose the opportunity for sales to customers for a significant period of time and be unable to recoup our investments in our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Pricing for the current generation of our existing products often decreases over time, which could negatively impact our revenue and gross margins;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generally do not maintain long-term supply contracts with our third-party manufacturing partners, and any disruption in our supply of products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our relationships with leaders in the data center infrastructure ecosystem to test and validate our products at a system level and our inability to continue to develop or maintain such relationships in the future would harm our ability to remain competitive;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identified material weaknesses in our internal control over financial reporting and may identify additional material weaknesses in the future or fail to maintain an effective system of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are unable to attract, train, and retain qualified personnel, particularly our design and technical personnel, we may not be able to execute our business strategy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Cybersecurity risks, including cyber-attacks, data breaches, and system vulnerabilities could adversely affect our business and disrupt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financial condition, and results of operations could be adversely affected by worldwide economic conditions, as well as political and economic conditions in the countries in which we conduct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pursue acquisitions, investments, joint ventures, and dispositions, which could adversely affect our results of operations, and any acquisitions we do make could disrupt our business and harm our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operate in intensely competitive markets. Our failure to compete effectively, including as a result of industry consolidation, would harm our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Unfavorable or uncertain conditions in the cloud market, as well as for AI infrastructures, may cause fluctuations in our rate of revenue growth or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failure to protect our intellectual property rights adequately could impair our ability to compete effectively or to defend ourselves from litigation, which could harm our business, financial condition, and results of operations;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There has been no prior public market for our common stock and an active, liquid, and orderly trading market may not develop or be sustained following this offering, which could harm the market price of our common stock.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we are unable to adequately address these and other risks we face, our business, results of operations, financial condition, and prospects may be harmed, the trading price of our common stock could decline, and you could lose all or part of your investment.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Channels for Disclosure of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Following the completion of this offering, we intend to announce material information to the public through filings with the SEC, the investor relations page on our website, blog posts on our website, press releases, public conference calls, webcasts, our X (f/k/a Twitter) feed (@AsteraLabs), YouTube channel, and our LinkedIn page.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information disclosed through the foregoing channels could be deemed to be material information. As such, we encourage investors, the media, and others to follow the channels listed above and to review the information disclosed through such channels.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Any updates to the list of disclosure channels through which we will announce information will be posted on the investor relations page on our website. Information contained on or accessible through any of the foregoing channels is not incorporated by reference into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October 2017 under the name Astera Labs, Inc. Our principal executive offices are located at 2901 Tasman Drive, Suite 205, Santa Clara, CA 95054, and our telephone number is (408) 337-9056. Our website address is www.asteralabs.com. Information contained on or that can be accessed through our website does not constitute part of this prospectus and the inclusion of our website address in this prospectus is intended to be an inactive textual reference only. You should not consider information contained on our website to be part of this prospectus or in deciding whether to purchase shares of our common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use various trademarks and trade names in connection with the operation of our business, including, without limitation, our corporate name and logo.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 or SM symbols, but the omission of such references is not intended to indicate, in any way, that we will not assert, to the fullest extent under applicable law, our rights, or the right of the applicable owner of these trademarks, service marks, and trade names.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within the meaning of the Jumpstart Our Business Startups Act of 2012 (the JOBS Act). As an emerging growth company, we may take advantage of certain exemptions from various public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this prospectus and in our periodic reports and proxy statements, and the requirement that we hold a non-binding advisory vote on executive compensation and any golden parachute payments.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for up to five years or such earlier time that we are no longer an emerging growth company. 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certain risks related to our status as an emerging growth company, see the section titled Risk FactorsWe are an emerging growth company, and any decision on our part to comply only with certain reduced reporting and disclosure requirements applicable to emerging growth companies could make our common stock less attractive to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9" w:type="dxa"/>
            <w:tcBorders/>
          </w:tcPr>
          <w:p>
            <w:pPr>
              <w:pStyle w:val="TableContents"/>
              <w:bidi w:val="0"/>
              <w:spacing w:before="0" w:after="0"/>
              <w:jc w:val="both"/>
              <w:rPr/>
            </w:pPr>
            <w:r>
              <w:rPr/>
              <w:t>   </w:t>
            </w:r>
            <w:r>
              <w:rPr>
                <w:rFonts w:ascii="Times New Roman" w:hAnsi="Times New Roman"/>
                <w:sz w:val="20"/>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8" w:type="dxa"/>
            <w:tcBorders/>
          </w:tcPr>
          <w:p>
            <w:pPr>
              <w:pStyle w:val="TableContents"/>
              <w:bidi w:val="0"/>
              <w:spacing w:before="0" w:after="20"/>
              <w:jc w:val="both"/>
              <w:rPr/>
            </w:pPr>
            <w:r>
              <w:rPr/>
              <w:t>   </w:t>
            </w:r>
            <w:r>
              <w:rPr>
                <w:rFonts w:ascii="Times New Roman" w:hAnsi="Times New Roman"/>
                <w:sz w:val="20"/>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of common stock from us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granted the underwriters an option, exercisable for 30 days after the date of this prospectus, to purchase up to an additional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immediately after this offering </w:t>
            </w:r>
          </w:p>
        </w:tc>
        <w:tc>
          <w:tcPr>
            <w:tcW w:w="6328" w:type="dxa"/>
            <w:tcBorders/>
          </w:tcPr>
          <w:p>
            <w:pPr>
              <w:pStyle w:val="TableContents"/>
              <w:bidi w:val="0"/>
              <w:spacing w:before="0" w:after="0"/>
              <w:jc w:val="both"/>
              <w:rPr/>
            </w:pPr>
            <w:r>
              <w:rPr/>
              <w:t>   </w:t>
            </w:r>
            <w:r>
              <w:rPr>
                <w:rFonts w:ascii="Times New Roman" w:hAnsi="Times New Roman"/>
                <w:sz w:val="20"/>
              </w:rPr>
              <w:t xml:space="preserve">shares (or    shares if the underwriters option to purchase additional shares in this offering is exercised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estimate that the net proceeds from the sale of shares of our common stock that we are selling in this offering will be approximately $   million (or approximately $   million if the underwriters option to purchase additional shares is exercised in full), based upon an assumed initial public offering price of $   per share, which is the midpoint of the estimated offering price range set forth on the cover page of this prospectus, after deducting estimated underwriting discounts and commissions and estimated offering expenses payable by us. We will not receive any proceeds from the sale of the shares of common stock being offered by the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currently intend to use the net proceeds of this offering for working capital and other general corporate purposes. We may also use a portion of the net proceeds to acquire or invest in complementary businesses, products, services, technologies, or other assets. We do not, however, have agreements or commitments to enter into any acquisitions or investments at this time. We also intend to use a portion of the net proceeds we receive from this offering to satisfy the anticipated tax withholding and remittance obligations of approximately $  million related to the settlement of our outstanding restricted stock units (RSUs)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the section titled Use of Proceeds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Directed share program </w:t>
            </w:r>
          </w:p>
        </w:tc>
        <w:tc>
          <w:tcPr>
            <w:tcW w:w="632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our request, the underwriters have reserved up to    shares of our common stock, or 2% of the shares offered by this prospectus, for sale at the initial public offering price through a directed share program to certain directors, business partners, and friends and family. Any reserved shares not so purchased will be offered by the underwriters to the general public on the same basis as the other shares offered by this prospectus. Morgan Stanley &amp; Co. LLC will administer our directed share program. See UnderwritingDirected Share Program for additional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the section titled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Proposed Nasdaq trading symbol </w:t>
            </w:r>
          </w:p>
        </w:tc>
        <w:tc>
          <w:tcPr>
            <w:tcW w:w="632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   .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after this offering is based on    shares of our common stock outstanding as of December 31, 2023,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10,058,536 shares of our common stock issuable upon the exercise of options to purchase shares of our common stock that were outstanding as of December 31, 2023, with a weighted-average exercise price of $0.84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5,761,737 shares of our common stock that are issuable in connection with the settlement of RSUs upon satisfaction of both a time condition and a liquidity event condition, for which the time condition has not yet been satisfied as of December 31, 2023 (the time condition for certain of these RSUs was satisfied as of February 15, 2024, which we expect will result in the net issuance of     shares of our common stock in connection with this offering, after withholding an aggregate of      shares of common stock to satisfy associated estimated income tax obligations (based on an assumed initial public offering price of $    per share, which is the midpoint of the price range set forth on the cover page of this prospectus, and an assumed  % tax withholding rate)), that were granted prior to December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7,534,358 shares of our common stock that are issuable in connection with the settlement of RSUs upon satisfaction of both a time condition and a liquidity event condition, for which the time condition has not yet been satisfied as of December 31, 2023 and that were granted after December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2,442,360 shares of our common stock issuable upon the exercise of warrants to purchase shares of our common stock outstanding as of December 31, 2023, with a weighted-average exercise price of $19.30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1,888,466 shares of our common stock reserved for future issuance pursuant to our 2018 Equity Incentive Plan, as amended as of February 15, 2024 (2018 Plan), which shares will be added to the shares of our common stock reserved for future issuance under our 2024 Stock Option and Incentive Plan (2024 Plan), which we intend to adopt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2024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2024 Employee Stock Purchase Plan (ESPP), which we intend to adopt in connection with this offering.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Each of our 2024 Plan and our ESPP provide for annual automatic increases in the number of shares of our common stock reserved thereunder, and our 2024 Plan provides for increases to the number of shares of our common stock that may be granted thereunder based on shares underlying any awards under our 2018 Plan that expire, are forfeited, or are otherwise terminated, as more fully described in the section titled Executive CompensationEmployee Benefit and Equity Compensation Plans.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two-for-one reverse split of our capital stock, which was effected on February 12,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and effectiveness of our amended and restated certificate of incorporation in Delaware and the adoption of our second amended and restated bylaws, each of which will occur immediately prior to the completion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automatic conversion of 90,890,650 shares of our convertible preferred stock outstanding as of December 31, 2023 into an equal number of shares of our common stock, the conversion of which will occur immediately prior to the completion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net issuance of       shares of our common stock issuable pursuant to the vesting and settlement of 2,821,234 RSUs outstanding as of December 31, 2023 for which the time condition was satisfied as of December 31, 2023, and for which the liquidity event condition will be satisfied upon completion of this offering, after withholding an aggregate of       shares of common stock to satisfy associated estimated income tax obligations (based on the assumed initial public offering price of $   per share, which is the midpoint of the price range set forth on the cover page of this prospectus, and an assumed      % tax withholding 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by the underwriters of their option to purchase up to an additional    shares of common stock from us in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outstanding stock options or warrants or settlement of outstanding RSUs subsequent to December 31, 2023, except as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AND OTHER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following tables summarize our historical consolidated financial and other data for the periods and dates indicated. We derived the summary historical consolidated statements of operations and comprehensive loss data for the years ended December 31, 2022 and 2023, and the consolidated balance sheet data as of December 31, 2023, from our audited consolidated financial statements included elsewhere in this prospectus. Our historical results are not necessarily indicative of the results that may be expected in the future. You should read the following summary consolidated financial and other data below in conjunction with the sections titled Risk Factors, Capitalization, Managements Discussion and Analysis of Financial Condition and Results of Operations and our consolidated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586"/>
        <w:gridCol w:w="224"/>
        <w:gridCol w:w="140"/>
        <w:gridCol w:w="803"/>
        <w:gridCol w:w="155"/>
        <w:gridCol w:w="195"/>
        <w:gridCol w:w="140"/>
        <w:gridCol w:w="803"/>
        <w:gridCol w:w="159"/>
      </w:tblGrid>
      <w:tr>
        <w:trPr/>
        <w:tc>
          <w:tcPr>
            <w:tcW w:w="758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8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36" w:type="dxa"/>
            <w:gridSpan w:val="6"/>
            <w:tcBorders/>
            <w:vAlign w:val="bottom"/>
          </w:tcPr>
          <w:p>
            <w:pPr>
              <w:pStyle w:val="TableContents"/>
              <w:bidi w:val="0"/>
              <w:spacing w:before="0" w:after="283"/>
              <w:jc w:val="center"/>
              <w:rPr>
                <w:b/>
                <w:sz w:val="16"/>
              </w:rPr>
            </w:pPr>
            <w:r>
              <w:rPr>
                <w:b/>
                <w:sz w:val="16"/>
              </w:rPr>
              <w:t>(in thousands, except</w:t>
              <w:br/>
              <w:t>per share amounts)</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 of Operations and Comprehensive Loss: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79,872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115,794</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revenue(1)</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21,191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35,967</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58,681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79,827</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73,711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73,407</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24,407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19,992</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20,757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15,925</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118,875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109,324</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(60,194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(29,497</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2,613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6,549</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(57,581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(22,948</w:t>
            </w:r>
          </w:p>
        </w:tc>
        <w:tc>
          <w:tcPr>
            <w:tcW w:w="159" w:type="dxa"/>
            <w:tcBorders/>
            <w:vAlign w:val="bottom"/>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3,309</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(58,345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(26,257</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diluted(2)</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(1.71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(0.71</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net loss per share attributable to common stockholders, basic and diluted(2)</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34,171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37,131</w:t>
            </w:r>
          </w:p>
        </w:tc>
        <w:tc>
          <w:tcPr>
            <w:tcW w:w="159" w:type="dxa"/>
            <w:tcBorders/>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stockholders, basic and diluted(3)</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8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pro forma net loss per share attributable to common stockholders, basic and diluted(3)</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8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stock-based compensation expense as follows (in thousands):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945"/>
        <w:gridCol w:w="235"/>
        <w:gridCol w:w="140"/>
        <w:gridCol w:w="693"/>
        <w:gridCol w:w="60"/>
        <w:gridCol w:w="235"/>
        <w:gridCol w:w="140"/>
        <w:gridCol w:w="693"/>
        <w:gridCol w:w="64"/>
      </w:tblGrid>
      <w:tr>
        <w:trPr/>
        <w:tc>
          <w:tcPr>
            <w:tcW w:w="7945"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94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64" w:type="dxa"/>
            <w:tcBorders/>
            <w:vAlign w:val="bottom"/>
          </w:tcPr>
          <w:p>
            <w:pPr>
              <w:pStyle w:val="TableContents"/>
              <w:bidi w:val="0"/>
              <w:spacing w:before="0" w:after="283"/>
              <w:jc w:val="left"/>
              <w:rPr/>
            </w:pPr>
            <w:r>
              <w:rPr/>
              <w:t> </w:t>
            </w:r>
          </w:p>
        </w:tc>
      </w:tr>
      <w:tr>
        <w:trPr/>
        <w:tc>
          <w:tcPr>
            <w:tcW w:w="7945"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24</w:t>
            </w:r>
          </w:p>
        </w:tc>
        <w:tc>
          <w:tcPr>
            <w:tcW w:w="64" w:type="dxa"/>
            <w:tcBorders/>
            <w:shd w:fill="CCEEFF" w:val="clear"/>
            <w:vAlign w:val="bottom"/>
          </w:tcPr>
          <w:p>
            <w:pPr>
              <w:pStyle w:val="TableContents"/>
              <w:bidi w:val="0"/>
              <w:spacing w:before="0" w:after="283"/>
              <w:jc w:val="left"/>
              <w:rPr/>
            </w:pPr>
            <w:r>
              <w:rPr/>
              <w:t> </w:t>
            </w:r>
          </w:p>
        </w:tc>
      </w:tr>
      <w:tr>
        <w:trPr/>
        <w:tc>
          <w:tcPr>
            <w:tcW w:w="794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11,223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7,360</w:t>
            </w:r>
          </w:p>
        </w:tc>
        <w:tc>
          <w:tcPr>
            <w:tcW w:w="64" w:type="dxa"/>
            <w:tcBorders/>
            <w:vAlign w:val="bottom"/>
          </w:tcPr>
          <w:p>
            <w:pPr>
              <w:pStyle w:val="TableContents"/>
              <w:bidi w:val="0"/>
              <w:spacing w:before="0" w:after="283"/>
              <w:jc w:val="left"/>
              <w:rPr/>
            </w:pPr>
            <w:r>
              <w:rPr/>
              <w:t> </w:t>
            </w:r>
          </w:p>
        </w:tc>
      </w:tr>
      <w:tr>
        <w:trPr/>
        <w:tc>
          <w:tcPr>
            <w:tcW w:w="7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10,148</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2,067</w:t>
            </w:r>
          </w:p>
        </w:tc>
        <w:tc>
          <w:tcPr>
            <w:tcW w:w="64" w:type="dxa"/>
            <w:tcBorders/>
            <w:shd w:fill="CCEEFF" w:val="clear"/>
            <w:vAlign w:val="bottom"/>
          </w:tcPr>
          <w:p>
            <w:pPr>
              <w:pStyle w:val="TableContents"/>
              <w:bidi w:val="0"/>
              <w:spacing w:before="0" w:after="283"/>
              <w:jc w:val="left"/>
              <w:rPr/>
            </w:pPr>
            <w:r>
              <w:rPr/>
              <w:t> </w:t>
            </w:r>
          </w:p>
        </w:tc>
      </w:tr>
      <w:tr>
        <w:trPr/>
        <w:tc>
          <w:tcPr>
            <w:tcW w:w="794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8,854</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1,228</w:t>
            </w:r>
          </w:p>
        </w:tc>
        <w:tc>
          <w:tcPr>
            <w:tcW w:w="64" w:type="dxa"/>
            <w:tcBorders/>
            <w:vAlign w:val="bottom"/>
          </w:tcPr>
          <w:p>
            <w:pPr>
              <w:pStyle w:val="TableContents"/>
              <w:bidi w:val="0"/>
              <w:spacing w:before="0" w:after="283"/>
              <w:jc w:val="left"/>
              <w:rPr/>
            </w:pPr>
            <w:r>
              <w:rPr/>
              <w:t> </w:t>
            </w:r>
          </w:p>
        </w:tc>
      </w:tr>
      <w:tr>
        <w:trPr/>
        <w:tc>
          <w:tcPr>
            <w:tcW w:w="794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9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30,235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10,679</w:t>
            </w:r>
          </w:p>
        </w:tc>
        <w:tc>
          <w:tcPr>
            <w:tcW w:w="64" w:type="dxa"/>
            <w:tcBorders/>
            <w:shd w:fill="CCEEFF" w:val="clear"/>
            <w:vAlign w:val="bottom"/>
          </w:tcPr>
          <w:p>
            <w:pPr>
              <w:pStyle w:val="TableContents"/>
              <w:bidi w:val="0"/>
              <w:spacing w:before="0" w:after="283"/>
              <w:jc w:val="left"/>
              <w:rPr/>
            </w:pPr>
            <w:r>
              <w:rPr/>
              <w:t> </w:t>
            </w:r>
          </w:p>
        </w:tc>
      </w:tr>
      <w:tr>
        <w:trPr/>
        <w:tc>
          <w:tcPr>
            <w:tcW w:w="7945"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Stock-based compensation for the year ended December 31, 2022 includes $17.7 million related to secondary transactions for the quarter ended June 30, 2022. See Note 9 to our consolidated financial statements included elsewhere in this prospectus for additional details on the secondary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Note 10 to our consolidated financial statements included elsewhere in this prospectus for an explanation of the method used to calculate our basic and diluted net loss per share and the weighted average number of shares used in the computation of per share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 forma weighted-average shares used in computing pro forma net loss per share for the year ended December 31, 2023 assumes (i) the net issuance of shares of our common stock pursuant to the vesting and settlement of RSUs for which the time condition was satisfied as of December 31, 2023, and for which the liquidity event vesting condition was satisfied upon completion of this offering, after withholding shares to satisfy the associated estimated income tax obligations, and (ii) the automatic conversion of all outstanding shares of redeemable convertible preferred stock into an aggregate of     shares of common stock as if the conversion occurred on January 1, 2023. The pro forma net loss used to calculate pro forma net loss per share reflects the cumulative stock-based compensation expense related to RSUs for which the time condition was satisfied as of year ended December 31, 2023. For the purposes of the pro forma calculation, we assumed the liquidity event vesting condition occurred as of January 1, 2023.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6321"/>
        <w:gridCol w:w="224"/>
        <w:gridCol w:w="140"/>
        <w:gridCol w:w="800"/>
        <w:gridCol w:w="155"/>
        <w:gridCol w:w="186"/>
        <w:gridCol w:w="140"/>
        <w:gridCol w:w="800"/>
        <w:gridCol w:w="60"/>
        <w:gridCol w:w="224"/>
        <w:gridCol w:w="169"/>
        <w:gridCol w:w="921"/>
        <w:gridCol w:w="65"/>
      </w:tblGrid>
      <w:tr>
        <w:trPr/>
        <w:tc>
          <w:tcPr>
            <w:tcW w:w="632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32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5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5" w:type="dxa"/>
            <w:tcBorders/>
            <w:vAlign w:val="bottom"/>
          </w:tcPr>
          <w:p>
            <w:pPr>
              <w:pStyle w:val="TableContents"/>
              <w:bidi w:val="0"/>
              <w:spacing w:before="0" w:after="283"/>
              <w:jc w:val="left"/>
              <w:rPr/>
            </w:pPr>
            <w:r>
              <w:rPr/>
              <w:t> </w:t>
            </w:r>
          </w:p>
        </w:tc>
      </w:tr>
      <w:tr>
        <w:trPr/>
        <w:tc>
          <w:tcPr>
            <w:tcW w:w="632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b/>
              </w:rPr>
            </w:pPr>
            <w:r>
              <w:rPr>
                <w:b/>
              </w:rPr>
              <w:t>Pro</w:t>
              <w:br/>
              <w:t>Forma(1)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0" w:type="dxa"/>
            <w:gridSpan w:val="2"/>
            <w:tcBorders/>
            <w:vAlign w:val="bottom"/>
          </w:tcPr>
          <w:p>
            <w:pPr>
              <w:pStyle w:val="TableContents"/>
              <w:bidi w:val="0"/>
              <w:spacing w:before="0" w:after="283"/>
              <w:jc w:val="center"/>
              <w:rPr>
                <w:b/>
              </w:rPr>
            </w:pPr>
            <w:r>
              <w:rPr>
                <w:b/>
              </w:rPr>
              <w:t>Pro</w:t>
              <w:br/>
              <w:t>Forma, As</w:t>
              <w:br/>
              <w:t>Adjusted(2)</w:t>
            </w:r>
          </w:p>
        </w:tc>
        <w:tc>
          <w:tcPr>
            <w:tcW w:w="65" w:type="dxa"/>
            <w:tcBorders/>
            <w:vAlign w:val="bottom"/>
          </w:tcPr>
          <w:p>
            <w:pPr>
              <w:pStyle w:val="TableContents"/>
              <w:bidi w:val="0"/>
              <w:spacing w:before="0" w:after="283"/>
              <w:jc w:val="left"/>
              <w:rPr/>
            </w:pPr>
            <w:r>
              <w:rPr/>
              <w:t> </w:t>
            </w:r>
          </w:p>
        </w:tc>
      </w:tr>
      <w:tr>
        <w:trPr/>
        <w:tc>
          <w:tcPr>
            <w:tcW w:w="632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595" w:type="dxa"/>
            <w:gridSpan w:val="10"/>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632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32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45,098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32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Working capital(3)</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150,728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321" w:type="dxa"/>
            <w:tcBorders/>
          </w:tcPr>
          <w:p>
            <w:pPr>
              <w:pStyle w:val="TableContents"/>
              <w:bidi w:val="0"/>
              <w:spacing w:before="0" w:after="0"/>
              <w:jc w:val="left"/>
              <w:rPr>
                <w:rFonts w:ascii="Times New Roman" w:hAnsi="Times New Roman"/>
                <w:sz w:val="19"/>
              </w:rPr>
            </w:pPr>
            <w:r>
              <w:rPr>
                <w:rFonts w:ascii="Times New Roman" w:hAnsi="Times New Roman"/>
                <w:sz w:val="19"/>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196,292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321" w:type="dxa"/>
            <w:tcBorders/>
            <w:shd w:fill="CCEEFF" w:val="clear"/>
          </w:tcPr>
          <w:p>
            <w:pPr>
              <w:pStyle w:val="TableContents"/>
              <w:bidi w:val="0"/>
              <w:spacing w:before="0" w:after="0"/>
              <w:jc w:val="left"/>
              <w:rPr>
                <w:rFonts w:ascii="Times New Roman" w:hAnsi="Times New Roman"/>
                <w:sz w:val="19"/>
              </w:rPr>
            </w:pPr>
            <w:r>
              <w:rPr>
                <w:rFonts w:ascii="Times New Roman" w:hAnsi="Times New Roman"/>
                <w:sz w:val="19"/>
              </w:rPr>
              <w:t>Total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38,866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321" w:type="dxa"/>
            <w:tcBorders/>
          </w:tcPr>
          <w:p>
            <w:pPr>
              <w:pStyle w:val="TableContents"/>
              <w:bidi w:val="0"/>
              <w:spacing w:before="0" w:after="0"/>
              <w:jc w:val="left"/>
              <w:rPr>
                <w:rFonts w:ascii="Times New Roman" w:hAnsi="Times New Roman"/>
                <w:sz w:val="19"/>
              </w:rPr>
            </w:pPr>
            <w:r>
              <w:rPr>
                <w:rFonts w:ascii="Times New Roman" w:hAnsi="Times New Roman"/>
                <w:sz w:val="19"/>
              </w:rPr>
              <w:t>Total stockholders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(97,701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 forma column above gives effect to (i) the filing and effectiveness of our amended and restated certificate of incorporation in Delaware and the adoption of our second amended and restated bylaws, which will occur immediately prior to the completion of this offering; (ii) the automatic conversion of all of our outstanding convertible preferred stock into an equal number of shares of common stock; (iii) the net issuance of    shares of our common stock issuable pursuant to the vesting and settlement of RSUs for which the time condition was satisfied as of December 31, 2023, and for which the liquidity event condition will be satisfied upon completion of this offering, after withholding an aggregate of    shares to satisfy associated estimated income tax obligations (based upon the assumed initial public offering price of $   per share, which is the midpoint of the estimated offering price range set forth on the cover page of this prospectus, and an assumed    % tax withholding rate); (iv) the increase in other accrued liabilities and an equivalent decrease in additional paid-in capital in connection with tax withholding and remittance obligations related to such RSUs, based upon an assumed initial public offering price of $    per share, which is the midpoint of the estimated offering price range set forth on the cover page of this prospectus, all of which will occur immediately prior to the completion of this offering, as if such actions had occurred on December 31, 2023; and (v) $62.3 million of cumulative stock-based compensation expense related to the RSUs for which the time condition was satisfied as of December 31, 2023, which expense was unrecognized as of December 31, 2023, and for which the liquidity event condition will be satisfied upon completion of this offering.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 forma as adjusted column above gives further effect to (i) the pro forma adjustments set forth above and (ii) the sale of    shares of common stock in this offering at an assumed initial public offering price of $    per share, which is the midpoint of the price range set forth on the cover page of this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prospectus, after deducting estimated underwriting fees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$    per share, which is the midpoint of the price range set forth on the cover page of this prospectus, would increase or decrease the pro forma as adjusted amount of each of cash and cash equivalents, working capital, total assets, and total stockholders deficit by $    , assuming that the number of shares offered by us, as set forth on the cover page of this prospectus, remains the same and after deducting the estimated underwriting discounts and commissions and estimated offering expenses payable by us. Each increase or decrease of 1.0 million in the number of shares we are offering would increase or decrease the pro forma as adjusted amount of each of cash and cash equivalents, working capital, total assets, and stockholders deficit by $    , assuming no change in the assumed initial public offering price per share and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Working capital is defined as total current assets less total current liabilities. See our consolidated financial statements and the related notes thereto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rom285484_2"/>
      <w:bookmarkEnd w:id="4"/>
      <w:r>
        <w:rPr>
          <w:rFonts w:ascii="Times New Roman" w:hAnsi="Times New Roman"/>
          <w:b/>
          <w:sz w:val="20"/>
        </w:rPr>
        <w:t xml:space="preserve">RISK FACTORS </w:t>
      </w:r>
    </w:p>
    <w:p>
      <w:pPr>
        <w:pStyle w:val="TextBody"/>
        <w:bidi w:val="0"/>
        <w:spacing w:before="240" w:after="0"/>
        <w:jc w:val="both"/>
        <w:rPr>
          <w:rFonts w:ascii="Times New Roman" w:hAnsi="Times New Roman"/>
          <w:i/>
          <w:sz w:val="20"/>
        </w:rPr>
      </w:pPr>
      <w:r>
        <w:rPr>
          <w:rFonts w:ascii="Times New Roman" w:hAnsi="Times New Roman"/>
          <w:i/>
          <w:sz w:val="20"/>
        </w:rPr>
        <w:t xml:space="preserve">Investing in our common stock involves a high degree of risk. You should carefully consider the risks and uncertainties described below, together with all of the other information in this prospectus, before making a decision to invest in our common stock. If any of these risks actually occur, our business, results of operations, financial condition, and prospects could be materially adversely affected. In that event, the trading price of our common stock could decline, and you could lose part or all of your investment. Certain statements contained in the risk factors described below are forward-looking statements. See the section titled Special Note Regarding Forward-Looking Statements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sustain our growth rate, and we may not be able to manage future growth effectively. </w:t>
      </w:r>
    </w:p>
    <w:p>
      <w:pPr>
        <w:pStyle w:val="TextBody"/>
        <w:bidi w:val="0"/>
        <w:spacing w:before="120" w:after="0"/>
        <w:jc w:val="both"/>
        <w:rPr>
          <w:rFonts w:ascii="Times New Roman" w:hAnsi="Times New Roman"/>
          <w:sz w:val="20"/>
        </w:rPr>
      </w:pPr>
      <w:r>
        <w:rPr>
          <w:rFonts w:ascii="Times New Roman" w:hAnsi="Times New Roman"/>
          <w:sz w:val="20"/>
        </w:rPr>
        <w:t xml:space="preserve">We have experienced significant growth in a short period of time. Our revenue increased from $79.9 million for the year ended December 31, 2022 to $115.8 million for the year ended December 31, 2023. We may not achieve similar growth rates in future periods. You should not rely on our operating results for any prior quarterly or annual periods as an indication of our future operating performance. If we are unable to maintain adequate revenue growth, our financial results could suffer, and our stock price could decline. </w:t>
      </w:r>
    </w:p>
    <w:p>
      <w:pPr>
        <w:pStyle w:val="TextBody"/>
        <w:bidi w:val="0"/>
        <w:spacing w:before="240" w:after="0"/>
        <w:jc w:val="both"/>
        <w:rPr>
          <w:rFonts w:ascii="Times New Roman" w:hAnsi="Times New Roman"/>
          <w:sz w:val="20"/>
        </w:rPr>
      </w:pPr>
      <w:r>
        <w:rPr>
          <w:rFonts w:ascii="Times New Roman" w:hAnsi="Times New Roman"/>
          <w:sz w:val="20"/>
        </w:rPr>
        <w:t xml:space="preserve">To manage our growth successfully and handle the responsibilities of being a public company, we believe we must effectively,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recruit, hire, train, and manage additional qualified personnel for our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to make significant investments in our new and existing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 additional sales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implement and improve our administrative, financial and operational systems, procedures, and controls.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are unable to manage our growth effectively, we may not be able to take advantage of market opportunities or develop new products, and we may fail to satisfy customer requirements, maintain product quality, execute our business plan, or respond to competitive pressures.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generating net losses, and if we are unable to achieve adequate revenue growth while our expenses increase, we may not maintain profitability in the future. </w:t>
      </w:r>
    </w:p>
    <w:p>
      <w:pPr>
        <w:pStyle w:val="TextBody"/>
        <w:bidi w:val="0"/>
        <w:spacing w:before="120" w:after="0"/>
        <w:jc w:val="both"/>
        <w:rPr>
          <w:rFonts w:ascii="Times New Roman" w:hAnsi="Times New Roman"/>
          <w:sz w:val="20"/>
        </w:rPr>
      </w:pPr>
      <w:r>
        <w:rPr>
          <w:rFonts w:ascii="Times New Roman" w:hAnsi="Times New Roman"/>
          <w:sz w:val="20"/>
        </w:rPr>
        <w:t xml:space="preserve">We have a history of generating net losses. We incurred net losses of $58.3 million and $26.3 million for the years ended December 31, 2022 and 2023, respectively. As of December 31, 2022 and 2023, we had an accumulated deficit of $99.1 million and $125.4 million, respectively.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also expect to incur additional general and administrative expenses as a result of our growth and expect our costs to increase to support our operations as a public company. Historically, our costs have increased over the years due to these factors, and we expect to continue to incur increasing costs to support our anticipated future growth. </w:t>
      </w:r>
    </w:p>
    <w:p>
      <w:pPr>
        <w:pStyle w:val="TextBody"/>
        <w:bidi w:val="0"/>
        <w:spacing w:before="240" w:after="0"/>
        <w:jc w:val="both"/>
        <w:rPr>
          <w:rFonts w:ascii="Times New Roman" w:hAnsi="Times New Roman"/>
          <w:sz w:val="20"/>
        </w:rPr>
      </w:pPr>
      <w:r>
        <w:rPr>
          <w:rFonts w:ascii="Times New Roman" w:hAnsi="Times New Roman"/>
          <w:sz w:val="20"/>
        </w:rPr>
        <w:t xml:space="preserve">Following the completion of this offering, the stock-based compensation expense related to our RSUs will result in increases in our expenses in future periods, in particular in the quarter in which this offering is completed for RSUs for which the time condition will be satisfied and for which the liquidity event condition will be satisfied upon completion of this offering. Additionally, we may expend substantial funds in connection with the tax withholding and remittance obligations that arise upon the initial settlement of certain of our RSUs.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our revenue or revenue growth rate declines or our operating expenses exceed our expectations, our financial performance will be adversely affected. We will need to generate and sustain increased revenue levels in future periods in order to maintain profitability. If we cannot successfully grow our revenue at a rate that exceeds the costs associated with our business, we will not be able to maintain profitability, and the trading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limited operating history, and we may have difficulty accurately predicting our future revenue for the purpose of appropriately budgeting and adjusting our expenses. </w:t>
      </w:r>
    </w:p>
    <w:p>
      <w:pPr>
        <w:pStyle w:val="TextBody"/>
        <w:bidi w:val="0"/>
        <w:spacing w:before="120" w:after="0"/>
        <w:jc w:val="both"/>
        <w:rPr>
          <w:rFonts w:ascii="Times New Roman" w:hAnsi="Times New Roman"/>
          <w:sz w:val="20"/>
        </w:rPr>
      </w:pPr>
      <w:r>
        <w:rPr>
          <w:rFonts w:ascii="Times New Roman" w:hAnsi="Times New Roman"/>
          <w:sz w:val="20"/>
        </w:rPr>
        <w:t xml:space="preserve">We were established in October 2017. Our limited operating experience, a dynamic and rapidly evolving market in which we sell our products, our dependence on a limited number of customers, as well as numerous other factors beyond our control, could impede our ability to forecast quarterly and annual revenue accurately. As a result, we could experience budgeting and cash flow management problems, unexpected fluctuations in our results of operations and other challenges, any of which could make it difficult for us to maintain profitability and could increase the volatility of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unsuccessful in anticipating and responding to new market trends and evolving industry standards, developing and selling new products, or penetrating new markets. </w:t>
      </w:r>
    </w:p>
    <w:p>
      <w:pPr>
        <w:pStyle w:val="TextBody"/>
        <w:bidi w:val="0"/>
        <w:spacing w:before="120" w:after="0"/>
        <w:jc w:val="both"/>
        <w:rPr>
          <w:rFonts w:ascii="Times New Roman" w:hAnsi="Times New Roman"/>
          <w:sz w:val="20"/>
        </w:rPr>
      </w:pPr>
      <w:r>
        <w:rPr>
          <w:rFonts w:ascii="Times New Roman" w:hAnsi="Times New Roman"/>
          <w:sz w:val="20"/>
        </w:rPr>
        <w:t xml:space="preserve">We operate in an industry characterized by rapidly changing technologies and evolving industry standards. We believe that our future success depends on our ability to develop and introduce new technologies and products that generate new sources of revenue to replace, or build upon, existing product revenue streams. If we are not able to repeatedly introduce, in successive years, new products or new generations of existing products that ship in volume and meet customer demands, our revenue will likely not grow and may decline significantly and rapidly. </w:t>
      </w:r>
    </w:p>
    <w:p>
      <w:pPr>
        <w:pStyle w:val="TextBody"/>
        <w:bidi w:val="0"/>
        <w:spacing w:before="240" w:after="0"/>
        <w:jc w:val="both"/>
        <w:rPr>
          <w:rFonts w:ascii="Times New Roman" w:hAnsi="Times New Roman"/>
          <w:sz w:val="20"/>
        </w:rPr>
      </w:pPr>
      <w:r>
        <w:rPr>
          <w:rFonts w:ascii="Times New Roman" w:hAnsi="Times New Roman"/>
          <w:sz w:val="20"/>
        </w:rPr>
        <w:t xml:space="preserve">To compete successfully, we must design, develop, market, and sell new products or new generations of existing products that provide increasingly higher levels of performance while meeting evolving industry standards, and the cost and quality expectations, of our customers. The introduction of new products by our competitors, the delay or cancellation of a system for which any of our products are designed in, the market acceptance of products based on new or alternative technologies, or the emergence of new industry standards could render our existing or future products uncompetitive, obsolete, or otherwise unmarketable. </w:t>
      </w:r>
    </w:p>
    <w:p>
      <w:pPr>
        <w:pStyle w:val="TextBody"/>
        <w:bidi w:val="0"/>
        <w:spacing w:before="240" w:after="0"/>
        <w:jc w:val="both"/>
        <w:rPr>
          <w:rFonts w:ascii="Times New Roman" w:hAnsi="Times New Roman"/>
          <w:sz w:val="20"/>
        </w:rPr>
      </w:pPr>
      <w:r>
        <w:rPr>
          <w:rFonts w:ascii="Times New Roman" w:hAnsi="Times New Roman"/>
          <w:sz w:val="20"/>
        </w:rPr>
        <w:t xml:space="preserve">Our failure to anticipate or timely develop new products or new generations of existing products in response to technological shifts or evolving industry standards could result in decreased revenue and our competitors securing a competitive advantage. In particular, we may experience difficulties with product design, manufacturing, assembly, test, and qualification or marketing that could delay or prevent our development, introduction, or marketing of new or enhanced products. Although we believe our products comply with applicable industry standards, our existing and new products may not fully conform under all circumstances, and we are unable to guarantee that proprietary enhancements in the future will fully conform with applicable industry standards under all circumstances as industry standards evolve and change. </w:t>
      </w:r>
    </w:p>
    <w:p>
      <w:pPr>
        <w:pStyle w:val="TextBody"/>
        <w:bidi w:val="0"/>
        <w:spacing w:before="240" w:after="0"/>
        <w:jc w:val="both"/>
        <w:rPr>
          <w:rFonts w:ascii="Times New Roman" w:hAnsi="Times New Roman"/>
          <w:sz w:val="20"/>
        </w:rPr>
      </w:pPr>
      <w:r>
        <w:rPr>
          <w:rFonts w:ascii="Times New Roman" w:hAnsi="Times New Roman"/>
          <w:sz w:val="20"/>
        </w:rPr>
        <w:t xml:space="preserve">Products for our target markets are based on industry standards that are continually evolving, and industry standards are often developed and promoted by larger companies who are industry leaders and provide other components of the systems into which our products are incorporated. In choosing products to develop, we also make certain assumptions about which industry standards we believe will be adopted by industry leaders. For example, CXL connectivity solutions are in the early stages of market adoption. If our assumptions are incorrect, and larger companies do not support the same industry standards that we do, or if competing standards emerge, it could be difficult for our products to meet the requirements of certain customers. As a result, if we fail to introduce new products or new generations of our existing products that meet prevailing industry standards and the needs of our customers, or penetrate new markets in a timely fashion, and our designs do not gain acceptance, we will likely lose market share and our competitive position, potentially on an extended basis, and our operating results will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competitiveness and future success depend on our and our third-party manufacturing partners ability, as applicable, to design, develop, manufacture, assemble, and test new products and product enhancements on a timely and cost-effective basis. Our failure to anticipate fundamental shifts in technologies in any of our product markets, to develop new technologies or to react to changes in existing technologies could materially delay our development of new products or new generations of our existing products. For example, we anticipate that our customers will continue to have increasing needs for connectivity and memory products as a result of the increased adoption of the cloud and AI infrastructure, and if we are unable to successfully design and produce products that our customers can incorporate into their cloud and AI systems, we expect that our competitive positioning and financial performance would be harmed as our competitors more effectively help our customers scale into these developing sectors.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success of new products depends on accurate forecasts of long-term market demand and future technological developments, as well as on a variety of specific implementation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timely and efficient completion of our design and transfer to manufacturing, assembly, and test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quality, performance, and reliability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effective marketing, sales, and service.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fail to introduce new products or new generations of existing products that meet the demand of our customers or penetrate new markets that we have targeted, our revenue will likely decrease over time and our financial condition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substantial portion of our revenue is driven by a limited number of our end customers, and the loss of, or a significant reduction in, demand from one or a few of our top end customers would adversely affect our operations and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A substantial portion of our revenue is driven by a limited number of end customers. We recognized (in most cases through distributors, rather than directly from end customers) an aggregate of approximately 89% of our revenue from our top three end customers for the year ended December 31, 2022. In 2022, a majority of our revenue was derived from one end customer. In 2023, no end customer represented more than one third of our revenue; the top three end customers represented an aggregate of approximately 70%, of our revenue. Our distributors and end customers manufacturing partners provide us with information in their purchase orders about which end customer will receive the products purchased. This data allows us to estimate the portion of our revenue that is due to specific end customer demand. We anticipate that we will continue to be dependent on a limited number of end customers for a significant portion of our revenue in the future, and in some cases, the portion of our revenue attributable to certain end customers may increase in the future. However, we may not be able to maintain or increase sales to certain of our top end customers for a variety of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master agreements with our end customers generally do not require them to purchase a minimum quantity of our products and our end customers demand for our products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some of our end customers may redesign their systems to use fewer or none of our products with limited notice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many of our end customers have pre-existing or concurrent relationships with our current or potential competitors that may affect such end customers decisions to purchase our products.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End customer relationships often require us to develop new products that may involve significant technological and design challenges, and our end customers frequently place considerable pressure on us to meet tight development schedules. Accordingly, we may have to devote a substantial amount of our resources to our strategic relationships, which could detract from or delay our completion of other important development projects. Delays in development could impair our relationships with our end customers and negatively impact forecasted sales of the products under development. Moreover, it is possible that our end customers may develop their own products that may compete with our solutions, or adopt a competitors solution for products that they currently buy from us. If that happens, our sales would be adversely impacted and our business, financial condition, and results of operations would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to attract new customers or retain existing end customers, we may offer (in some cases through distributors) certain customers favorable prices for our products. In that event, our revenue and gross margins may decline. The loss of a top end customer, a reduction in sales to any top end customer, or our inability to attract new end customers could impact our revenue and materially and adversely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achieve design wins for our products, we may lose the opportunity for sales to customers for a significant period of time and be unable to recoup our investments in our products. </w:t>
      </w:r>
    </w:p>
    <w:p>
      <w:pPr>
        <w:pStyle w:val="TextBody"/>
        <w:bidi w:val="0"/>
        <w:spacing w:before="120" w:after="0"/>
        <w:jc w:val="both"/>
        <w:rPr>
          <w:rFonts w:ascii="Times New Roman" w:hAnsi="Times New Roman"/>
          <w:sz w:val="20"/>
        </w:rPr>
      </w:pPr>
      <w:r>
        <w:rPr>
          <w:rFonts w:ascii="Times New Roman" w:hAnsi="Times New Roman"/>
          <w:sz w:val="20"/>
        </w:rPr>
        <w:t xml:space="preserve">Our business is dependent on design wins. Design wins occur once a customer has validated and placed an order for our product(s). We often incur significant expenditures in the development of a new product or new generation of an existing product without any assurance that our customers will select our product for use in their systems. Additionally, we are often required to anticipate which product designs will generate demand in advance of our customers expressly indicating a need for that particular design. Even if our customers select our products, a substantial period of time will elapse before we generate revenue related to the significant expenses we have incurred. The reasons for this delay generally include the following elements of our product sales and development cycle timeline and related influences: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customers usually require a comprehensive technical evaluation of our products before they incorporate them into their designs;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can take up to two years from the time a design win is secured to commencement of volume commercial shipments (assuming no changes in market conditions or customer development schedules);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customers may be impacted by changing market conditions, product development issues of their own, or choose to delay their system designs.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resources devoted to product development and sales and marketing may not generate material revenue for us, and we have needed in the past, and may need in the future, to write off excess and obsolete inventory if we have produced a product in excess of forecasted demand which does not materialize. If we incur significant expenses and investments in inventory in the future that we are not able to recover, and we are not able to compensate for those expenses, our operating results could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A design win does not guarantee sales to a customer. A delay or cancellation of a customers plans could materially and adversely affect our financial results, as we incur significant expense in the design process and may generate little or no revenue from it. In addition, the timing of design wins is unpredictable and supporting production for a major design win, or multiple design wins at the same time, may strain our resources. In such event, we may be forced to dedicate significant additional resources and incur additional costs and expenses. Customers could also choose at any time to stop using our products, or could fail to successfully market and sell their products, either of which could reduce demand for our products. </w:t>
      </w:r>
    </w:p>
    <w:p>
      <w:pPr>
        <w:pStyle w:val="TextBody"/>
        <w:bidi w:val="0"/>
        <w:spacing w:before="240" w:after="0"/>
        <w:jc w:val="both"/>
        <w:rPr>
          <w:rFonts w:ascii="Times New Roman" w:hAnsi="Times New Roman"/>
          <w:sz w:val="20"/>
        </w:rPr>
      </w:pPr>
      <w:r>
        <w:rPr>
          <w:rFonts w:ascii="Times New Roman" w:hAnsi="Times New Roman"/>
          <w:sz w:val="20"/>
        </w:rPr>
        <w:t xml:space="preserve">Once a customer designs a product into its systems, the same product or enhanced versions of that product from the same supplier is likely to be used across a number of similar and successor products. This can be for a lengthy period of time due to the significant costs associated with qualifying a new supplier and potentially redesigning the product to incorporate a different solution. If a customer initially chooses a competitors product, it becomes more difficult for us to sell our products for use in that system because changing suppliers can involve significant cost, time, effort, and risk for our customers, and additional design opportunities may be infrequent or delayed. Thus, our failure to obtain a design win can result in our foregoing revenue from a given customers system for the life of that system. Our ability to compete in the future will depend, in large part, on our ability to develop products that comply with our customers and potential customers system specifications. However, even if our customers use our products in their systems, these customers may not deploy their systems in volume and we may not receive significant revenue from the sales of our products for those systems. As a result, we may be unable to accurately forecast the volume and timing of our orders and revenue associated with any new product introductions.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experience difficulties demonstrating to customers the value of our new products or newer generations of our existing products. </w:t>
      </w:r>
    </w:p>
    <w:p>
      <w:pPr>
        <w:pStyle w:val="TextBody"/>
        <w:bidi w:val="0"/>
        <w:spacing w:before="120" w:after="0"/>
        <w:jc w:val="both"/>
        <w:rPr>
          <w:rFonts w:ascii="Times New Roman" w:hAnsi="Times New Roman"/>
          <w:sz w:val="20"/>
        </w:rPr>
      </w:pPr>
      <w:r>
        <w:rPr>
          <w:rFonts w:ascii="Times New Roman" w:hAnsi="Times New Roman"/>
          <w:sz w:val="20"/>
        </w:rPr>
        <w:t xml:space="preserve">As we develop and introduce new products or new generations of our existing products, we face the risk that customers may not value or be willing to bear the cost of incorporating these newer products into their systems, and may forego adopting one or more newer generations of our existing products. Regardless of the improved features or superior performance of the newer products, customers may be unwilling to adopt our new products due to design or pricing constraints, among other reasons. Even if customers choose to adopt our new products or new generations of our existing products, they may be slow to do so, which may result in certain of our products selling more frequently than other products for sustained periods of time. For example, most of our historical sales have been for our Aries product family. Because of the extensive time and resources that we invest in researching and developing new products and new generations of our existing products, if we are unable to sell new products or new generations of our existing products, our revenue could decline and our business, financial condition, and results of operations would be negatively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 limited number of third-party manufacturing partners for our manufacturing and supply chain services, and the failure to manage our relationships successfully with our third-party manufacturing partners in order to obtain adequate services and supplies could adversely affect our ability to market and sell our products and our reputation. </w:t>
      </w:r>
    </w:p>
    <w:p>
      <w:pPr>
        <w:pStyle w:val="TextBody"/>
        <w:bidi w:val="0"/>
        <w:spacing w:before="120" w:after="0"/>
        <w:jc w:val="both"/>
        <w:rPr>
          <w:rFonts w:ascii="Times New Roman" w:hAnsi="Times New Roman"/>
          <w:sz w:val="20"/>
        </w:rPr>
      </w:pPr>
      <w:r>
        <w:rPr>
          <w:rFonts w:ascii="Times New Roman" w:hAnsi="Times New Roman"/>
          <w:sz w:val="20"/>
        </w:rPr>
        <w:t xml:space="preserve">We operate an outsourced manufacturing business model. We currently partner with TSMC to manufacture our integrated circuits. TSMC is our sole manufacturing partner for our integrated circuits and we currently have not qualified another source. We also use Advanced Semiconductor Engineering and Amkor Technologies to assemble, package, and test our integrated circuits. We also rely on a small, limited number of other manufacturing partners for our modules, boards, and integrated circuit substrates. Relying on third-party manufacturing partners presents significant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by us, our customers, or their customers to qualify a selected supplier;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capacity shortages during periods of high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reduced control over delivery schedules and quality;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shortages of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third parties infringing, misappropriating, or otherwise violating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impairment of the operation of our products if errors or other defects occur in the third-party technologies we use, and difficulties correcting such errors or defects because the development and maintenance of those technologies is not within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limited warranties on products supplied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increases in prices or reduced yields.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ability and willingness of our third-party manufacturing partners to perform is largely outside of our control. If one or more of our third-party manufacturing partners or other outsourcers fails to perform its obligations in a timely manner or at satisfactory quality levels, our ability to bring products to market and our reputation could suffer. In particular, if TSMC is unable to supply us with sufficient quantities of wafers to meet all of our requirements, we could have difficulties fulfilling our customer orders and our revenue could decline. In addition, if our third-party manufacturing partners fail to deliver quality services, products, and components on time and at reasonable prices, we could have difficulties fulfilling our customer orders, which would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third-party manufacturing partners and distributors, and the majority of our revenue, are concentrated primarily in Taiwan, China, and South Korea, areas that are or may be subject to geopolitical uncertainty, trade disputes and restrictions, environmental disasters, and other risks. Any disruption to the operations of these manufacturing partners or distributors could cause significant delays in the production or shipment of our products and impact our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part on the uninterrupted and reliable operation of our business, including the operation of our day-to-day business operations, or manufacturing, assembly, and testing done by our third-party manufacturing partners and other vendors. Unforeseen disruption of the production or distribution of our products could be caused by a number of events, including a maintenance outage, systems outage or other disruption, power or equipment failure, fires, floods, earthquakes or other natural disasters, social unrest or terrorist activity, work stoppages, public health concerns (including pandemics), regulatory measures, or other operational problems. For example, the foundry used by our primary manufacturer, TSMC, as well as our primary distributor, is located in Taiwan. The risk of an earthquake in Taiwan and elsewhere in the Pacific Rim region on our business is significant due to the proximity of major earthquake fault lines to the foundrys facilities. Any disruption resulting from such events could cause significant delays in the production or shipment of our products until we are able to shift our manufacturing from the affected location to another location. We may not be able to obtain alternate capacity on favorable terms, if at all.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dependence on our relationship with our third-party manufacturing partners or distributors may be affected by changes in governmental policies, taxation, rising inflation or interest rates, social instability, geopolitical conflicts and tensions, and diplomatic and social developments which are outside of our control. The occurrence of such events may have an adverse impact because the majority of our revenue derives from sales into East Asia, including our largest distributor which accounted for approximately 82% and 37% of our revenue, respectively, for the years ended December 31, 2022 and 2023. For example, since 1949, Taiwan and mainland China have been separately governed. Although significant economic and cultural relations have been established between Taiwan and mainland China in the past few years, past developments in relations between Taiwan and mainland China have on occasion depressed the market prices of the securities of companies doing business in Taiwan, and may depress the price of our common stock. Additionally, trade tensions between the United States and China may lead to restrictions on our ability to use our third-party manufacturing partners or distributors located in China or may impose restrictions such that our use of such manufacturing partners or distributors may no longer be practical or on terms favorable to us. Further, continued or heightened tension between South Korea and North Korea, an outbreak in military hostilities, or other actions or occurrences could cause significant delays in the production or shipment of our products until we are able to shift our manufacturing, assembling, testing, or distribution from the affected contractor to another third-party. </w:t>
      </w:r>
    </w:p>
    <w:p>
      <w:pPr>
        <w:pStyle w:val="TextBody"/>
        <w:bidi w:val="0"/>
        <w:spacing w:before="240" w:after="0"/>
        <w:jc w:val="both"/>
        <w:rPr>
          <w:rFonts w:ascii="Times New Roman" w:hAnsi="Times New Roman"/>
          <w:sz w:val="20"/>
        </w:rPr>
      </w:pPr>
      <w:r>
        <w:rPr>
          <w:rFonts w:ascii="Times New Roman" w:hAnsi="Times New Roman"/>
          <w:sz w:val="20"/>
        </w:rPr>
        <w:t xml:space="preserve">Furthermore, our industry generally relies on a limited number of manufacturers whose operations tend to be concentrated in Taiwan and other parts of East Asia, which makes us especially susceptible to adverse developments in these regions economic and political conditions, particularly to the extent that such developments create an unfavorable business environment that significantly affects our and our customers operations. Although the governments of certain countries, including the United States, have taken actions to make their countries more attractive for chip manufacturing operations, there can be no assurances that the current geographic concentration of chip manufacturing will be meaningfully changed in the near term or at all. </w:t>
      </w:r>
    </w:p>
    <w:p>
      <w:pPr>
        <w:pStyle w:val="TextBody"/>
        <w:bidi w:val="0"/>
        <w:spacing w:before="240" w:after="0"/>
        <w:jc w:val="both"/>
        <w:rPr>
          <w:rFonts w:ascii="Times New Roman" w:hAnsi="Times New Roman"/>
          <w:sz w:val="20"/>
        </w:rPr>
      </w:pPr>
      <w:r>
        <w:rPr>
          <w:rFonts w:ascii="Times New Roman" w:hAnsi="Times New Roman"/>
          <w:sz w:val="20"/>
        </w:rPr>
        <w:t xml:space="preserve">If any of these events, or other macroeconomic trends, should cause a prolonged disruption of operations that impact our third-party manufacturing partners, we may see operational downtimes or operation at reduced capacities, preventing us from completing our operations or production in a timely manner, leading to loss of business volume and reduced productivity or profitability which could have a material adverse effect on our business, financial conditions, and results of operations. Given the concentration of chip manufacturing in Taiwan and other parts of East Asia, as well as the other risks described herein, we may not be able to obtain alternate service or materials quickly and on favorable terms, if at all. Any unplanned production downtime or other operational problems and delays, if significant,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customers require our products and our third-party manufacturing partners to undergo a lengthy and expensive qualification process which does not assure volume product sales. If we are unsuccessful or delayed in qualifying any of our products with a customer, our business and operating results would suffer. </w:t>
      </w:r>
    </w:p>
    <w:p>
      <w:pPr>
        <w:pStyle w:val="TextBody"/>
        <w:bidi w:val="0"/>
        <w:spacing w:before="120" w:after="0"/>
        <w:jc w:val="both"/>
        <w:rPr>
          <w:rFonts w:ascii="Times New Roman" w:hAnsi="Times New Roman"/>
          <w:sz w:val="20"/>
        </w:rPr>
      </w:pPr>
      <w:r>
        <w:rPr>
          <w:rFonts w:ascii="Times New Roman" w:hAnsi="Times New Roman"/>
          <w:sz w:val="20"/>
        </w:rPr>
        <w:t xml:space="preserve">Prior to purchasing our products and deploying them in volume in their systems, our customers require that our products and our third-party manufacturing partners undergo extensive qualification processes, which involve testing of our products in our customers systems, as well as testing for reliability. This qualification process may continue for several months or more. Moreover, qualification of a product by a customer does not assure any sales of the product to that customer. Further, even after successful qualification and sales of a product to a customer, a subsequent revision in our third-party contractors manufacturing process or our selection of a new supplier may require a new qualification process by our customers, which may result in delays and in our holding excess or obsolete inventory. After our products are qualified, it can take several months or more before the customer commences volume deployment of our products in their systems. Despite these uncertainties, we devote substantial resources, including design, engineering, sales, marketing, technical support, and management efforts, to qualify our products with customers in anticipation of sales. If we are unsuccessful or delayed in qualifying any of our products with a customer, sales of those products to the customer may be precluded or delayed, which may impede our growth and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make substantial investments in research and development, and unsuccessful investments could materially adversely affect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industry in which we compete is characterized by rapid technological change, changes in customer requirements, frequent new product introductions and enhancements, short product cycles and evolving industry standards, and new delivery methods. In addition, the fabrication of semiconductor products has transitioned over time to increasingly smaller line width geometries, and failure to successfully transition to product designs utilizing smaller geometry process nodes could impair our competitive position. In order to remain competitive, we have made, and expect to continue to make, significant investments in research and development. For the years ended December 31, 2022 and 2023, research and developments expenses were $73.7 million and $73.4 million, respectively. If we fail to develop new and enhanced products and technologies, if we focus on technologies that do not become widely adopted, or if new competitive technologies or industry standards that we do not support become widely accepted, demand for our products may be reduced. Increased investments in research and development or unsuccessful research and development efforts could cause our cost structure to fall out of alignment with demand for our products, which would have a negative impact on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will depend in large part on our ability to successfully execute our strategy. </w:t>
      </w:r>
    </w:p>
    <w:p>
      <w:pPr>
        <w:pStyle w:val="TextBody"/>
        <w:bidi w:val="0"/>
        <w:spacing w:before="120" w:after="0"/>
        <w:jc w:val="both"/>
        <w:rPr>
          <w:rFonts w:ascii="Times New Roman" w:hAnsi="Times New Roman"/>
          <w:sz w:val="20"/>
        </w:rPr>
      </w:pPr>
      <w:r>
        <w:rPr>
          <w:rFonts w:ascii="Times New Roman" w:hAnsi="Times New Roman"/>
          <w:sz w:val="20"/>
        </w:rPr>
        <w:t xml:space="preserve">Our business strategy is to maximize our return on investment by aligning with our customers to address high-value problem sets. We are still in the process of implementing our strategy to align with this select customer group, and we cannot be certain that this strategy will succeed. To succeed, we will need to significantly increase sales to our existing customers in the cloud and AI markets, continue to pursue adoption of our PCIe, Ethernet, and CXL connectivity solutions, increase our value-per-product and leverage our differentiated product families to grow with our customers into new data intensive end-markets, including developing, introducing, and marketing new products and technologies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gross margins may decline due to a variety of factors, which could negatively impact our results of operations and our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Our gross margins may decline due to a number of factors, including customer and product mix, revenue mix between various offerings, market acceptance of our new products, yield, pricing, packaging and testing costs, competitive pricing dynamics, and geographic and market pricing strategies. Increases in gross margins over certain periods may be a result of individual changes in customer need or market shifts, and may not be indicative of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attract new customers or retain existing customers, we have in the past and will in the future offer certain customers favorable prices, which would decrease the prices that we receive for our products and likely impact our gross margins. Further, we may also offer pricing incentives to our customers on earlier generations of products that inherently have a higher cost structure, which would negatively affect our gross margins. In addition, in the event our customers, including our larger customers, exert more pressure with respect to pricing and other terms with us, it could put downward pressure on our margins.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maintain an inventory of our products at various stages of production and in finished goods inventory. We hold these inventories in anticipation of customer orders. If those customer orders do not materialize in a timely manner, we may have excess or obsolete inventory which we would have to reserve or write-down, and our gross margins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Pricing for the current generation of our existing products often decreases over time, which could negatively impact our revenue and gross margins.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results may be impacted by a decline in the pricing for the current generation of our existing products. If competition increases in our target markets, we may need to reduce the prices of our existing products in anticipation of competitive pricing pressures, new product introductions by us or our competitors, new generations of such existing products, or for other reasons. If we are unable to offset any reductions in pricing for existing products by increasing our sales volumes or introducing new products or new product generations of such existing products with higher margins, our revenue and gross margins will suffer. To maintain our revenue and gross margins, we must develop and introduce new products, next-generation products, and product enhancements on a timely basis and continually reduce our costs as well as our customers costs. Failure to do so may cause our revenue and gross margins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the mix of products sold may materially adversely affect our gross margins and financial results. </w:t>
      </w:r>
    </w:p>
    <w:p>
      <w:pPr>
        <w:pStyle w:val="TextBody"/>
        <w:bidi w:val="0"/>
        <w:spacing w:before="120" w:after="0"/>
        <w:jc w:val="both"/>
        <w:rPr>
          <w:rFonts w:ascii="Times New Roman" w:hAnsi="Times New Roman"/>
          <w:sz w:val="20"/>
        </w:rPr>
      </w:pPr>
      <w:r>
        <w:rPr>
          <w:rFonts w:ascii="Times New Roman" w:hAnsi="Times New Roman"/>
          <w:sz w:val="20"/>
        </w:rPr>
        <w:t xml:space="preserve">Price differences among our products and the mix and types of products sold, including from a features and form factor perspective, may affect the pricing of our products and have a substantial impact on our revenue. Fluctuations in the mix and types of our products may also affect the extent to which we are able to recover our fixed costs and investments that are associated with a particular product, and as a result may negatively and materially impact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accurately predict end customer demand, or if our distributors or end customers manufacturing partners cancel or change their orders, we may hold excess or obsolete inventory, which would reduce our gross margins and may damage our relationships with our customers. </w:t>
      </w:r>
    </w:p>
    <w:p>
      <w:pPr>
        <w:pStyle w:val="TextBody"/>
        <w:bidi w:val="0"/>
        <w:spacing w:before="120" w:after="0"/>
        <w:jc w:val="both"/>
        <w:rPr>
          <w:rFonts w:ascii="Times New Roman" w:hAnsi="Times New Roman"/>
          <w:sz w:val="20"/>
        </w:rPr>
      </w:pPr>
      <w:r>
        <w:rPr>
          <w:rFonts w:ascii="Times New Roman" w:hAnsi="Times New Roman"/>
          <w:sz w:val="20"/>
        </w:rPr>
        <w:t xml:space="preserve">Our revenue and operating results could fluctuate materially and could be materially and disproportionately impacted by the purchasing decisions of our end customers. Due to the inability to predict demand or other reasons, some of our distributors and end customers manufacturing partners may accumulate excess inventories and, as a consequence, defer purchases of our products. For example, in the first quarter of 2023 we had a $9.7 million charge to write down inventory in excess of our sales forecast for a legacy customer system. Anticipating demand is difficult because our end customers face unpredictable demand for their own products and/or deployment of their own systems. If we overestimate end customer demand, or end customer demand is otherwise impacted by other factors impacting our assumptions, we might produce significant excess inventory, which would reduce our gross margin and adversely affect our financial results. Conversely, if we underestimate customer demand or if insufficient manufacturing capacity is available, we may miss revenue opportunities, potentially lose market share and damage our customer relationships. In addition, as an increasing number of our products are being incorporated into end customer systems, we anticipate greater fluctuations in demand for our products, which makes it more difficult to forecast end customer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generally do not maintain long-term supply contracts with our third-party manufacturing partners, and any disruption in our supply of products could have a material adverse effect on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generally do not have long-term contracts with our third-party manufacturing partners that require them to supply manufacturing capacity, materials, or services, and substantially all of our purchases are on a purchase order basis. We place orders with our third-party manufacturing partners for manufacturing, assembling, and testing our products and purchasing components that are integrated into our products according to our estimates of customer demand many months prior to the anticipated delivery date to our customer. This process requires us to make multiple demand forecast assumptions with respect to our customers demands in advance of actual purchase orders, each of which may introduce error into our estimates. In addition, while many of our customers are subject to purchase orders or other agreements that do not allow for cancellation without penalty within a certain number of days before the estimated ship date, there can be no assurance that these customers will honor these contract terms, and any cancellation of these orders may adversely affect our business operations and demand forecast which is the basis for us to have products made. </w:t>
      </w:r>
    </w:p>
    <w:p>
      <w:pPr>
        <w:pStyle w:val="TextBody"/>
        <w:bidi w:val="0"/>
        <w:spacing w:before="240" w:after="0"/>
        <w:jc w:val="both"/>
        <w:rPr>
          <w:rFonts w:ascii="Times New Roman" w:hAnsi="Times New Roman"/>
          <w:sz w:val="20"/>
        </w:rPr>
      </w:pPr>
      <w:r>
        <w:rPr>
          <w:rFonts w:ascii="Times New Roman" w:hAnsi="Times New Roman"/>
          <w:sz w:val="20"/>
        </w:rPr>
        <w:t xml:space="preserve">Our third-party manufacturing partners may also extend lead times, limit supplies, place products on allocation, or increase prices that could lead to interruption of supply or increased demand in the industry. For example, the supply of these materials may be negatively impacted by increased trade tensions between the United States and its trading partners, particularly the Peoples Republic of China. Moreover, TSMC increased the wafer prices we pay in both 2022 and 2023. Our products are incorporated into complex devices and systems, which creates supply chain cross-dependencies. Due to these cross dependencies, any supply chain disruptions could impact the demand for our products in the short term. In the event that we cannot obtain sufficient quantities of materials in a timely manner or at reasonable prices from third-party manufacturing partners, the quality of the material deteriorates or we are not able to pass on higher manufacturing costs to our customers, our business, financial condition, and results of operations could be adversely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our relationships with leaders in the data center infrastructure ecosystem to test and validate our products at a system level and our inability to continue to develop or maintain such relationships in the future would harm our ability to remain competitive. </w:t>
      </w:r>
    </w:p>
    <w:p>
      <w:pPr>
        <w:pStyle w:val="TextBody"/>
        <w:bidi w:val="0"/>
        <w:spacing w:before="120" w:after="0"/>
        <w:jc w:val="both"/>
        <w:rPr>
          <w:rFonts w:ascii="Times New Roman" w:hAnsi="Times New Roman"/>
          <w:sz w:val="20"/>
        </w:rPr>
      </w:pPr>
      <w:r>
        <w:rPr>
          <w:rFonts w:ascii="Times New Roman" w:hAnsi="Times New Roman"/>
          <w:sz w:val="20"/>
        </w:rPr>
        <w:t xml:space="preserve">We develop many of our products for systems that interoperate with other products sold by leaders in the data center infrastructure ecosystem. We work closely with these industry and technology partners to test and validate our products at a system level. We believe these relationships enhance our ability to achieve market acceptance and widespread adoption of our products. If we are unable to continue to develop or maintain these relationships, or if our products test negatively with these leaders in the data center infrastructure ecosystem, our products may become less desirable to our customers, which would cause our sales to suffer and our competitive position to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complexity of our products could result in unforeseen delays or expense or undetected defects, bugs, or security vulnerabilities, which could adversely affect the market acceptance of new products, damage our reputation with current or prospective customers, and materially and adversely affect our operating costs. </w:t>
      </w:r>
    </w:p>
    <w:p>
      <w:pPr>
        <w:pStyle w:val="TextBody"/>
        <w:bidi w:val="0"/>
        <w:spacing w:before="120" w:after="0"/>
        <w:jc w:val="both"/>
        <w:rPr>
          <w:rFonts w:ascii="Times New Roman" w:hAnsi="Times New Roman"/>
          <w:sz w:val="20"/>
        </w:rPr>
      </w:pPr>
      <w:r>
        <w:rPr>
          <w:rFonts w:ascii="Times New Roman" w:hAnsi="Times New Roman"/>
          <w:sz w:val="20"/>
        </w:rPr>
        <w:t xml:space="preserve">Our products may contain defects when they are first introduced or as new versions or enhancements are released, or their release may be delayed due to unforeseen difficulties during product development. If any of our products or third-party components used in our products, contain defects, bugs, vulnerabilities, or have reliability, quality, or compatibility problems, we may not be able to successfully design workarounds or resolve the issues in a timely manner. Furthermore, if any of these problems are not discovered until after we have commenced commercial production or deployment of a new product, we may be required to incur additional development costs, as well as costs to repair or replace our products, and expense previously capitalized production mask costs, all of which could materially adversely affect our reputation, business, results of operations, and/or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customers integrate our products with their products, which may also be further integrated with a number of other third-party applications. As a result, if there is an actual or perceived breach of information integrity, security, or availability in one of our customers systems, it can be difficult to determine which product is at fault and we could ultimately be harmed by the failure of a third-party suppliers product. Consequently, our reputation may be damaged, and customers may be reluctant to buy our products, which could materially and adversely affect our ability to retain existing customers and attract new customers. To resolve these problems, we may have to invest significant capital and other resources and we would likely lose, or experience a delay in, market acceptance of the affected product or products. These and similar problems may also result in claims against us by our customers or others, any of which could materially adversely affect our reputation, business, results of operations, and/or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adoption, use, and commercialization of AI technology, and the continued rapid pace of developments in the AI field, are inherently uncertain. Failure by our customers to continue to adopt infrastructure to support AI use cases in their systems, or our ability to keep up with evolving AI infrastructure requirements, could have a material adverse effect on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As part of our growth strategy, we seek to attract and acquire customers focused on AI. We foresee emerging demand from companies that are dedicated to providing infrastructure for AI use cases, AI-dedicated data centers, and larger enterprises, as they begin to build systems to meet their unique requirements. However, AI has been developing at a rapid pace, and continues to evolve and change. If we are unable to keep up with the changing AI landscape or in developing products to meet our customers evolving AI needs, or if the AI landscape does not develop to the extent we or our customers expect, our business, and financial results may be adversely impacted. </w:t>
      </w:r>
    </w:p>
    <w:p>
      <w:pPr>
        <w:pStyle w:val="TextBody"/>
        <w:bidi w:val="0"/>
        <w:spacing w:before="240" w:after="0"/>
        <w:jc w:val="both"/>
        <w:rPr>
          <w:rFonts w:ascii="Times New Roman" w:hAnsi="Times New Roman"/>
          <w:sz w:val="20"/>
        </w:rPr>
      </w:pPr>
      <w:r>
        <w:rPr>
          <w:rFonts w:ascii="Times New Roman" w:hAnsi="Times New Roman"/>
          <w:sz w:val="20"/>
        </w:rPr>
        <w:t xml:space="preserve">Additionally, our efforts in developing new AI infrastructure technology solutions are inherently risky and may not always succeed. We may incur significant costs and expect significant delays in developing new products or new generations of existing products to adapt to the changing AI landscape, and may not achieve a return on investment or capitalize on the opportunities presented by demand for AI solutions. Moreover, while AI-adoption is likely to continue and may accelerate, the long-term trajectory of this technological trend is uncertain. </w:t>
      </w:r>
    </w:p>
    <w:p>
      <w:pPr>
        <w:pStyle w:val="TextBody"/>
        <w:bidi w:val="0"/>
        <w:spacing w:before="240" w:after="0"/>
        <w:jc w:val="both"/>
        <w:rPr>
          <w:rFonts w:ascii="Times New Roman" w:hAnsi="Times New Roman"/>
          <w:sz w:val="20"/>
        </w:rPr>
      </w:pPr>
      <w:r>
        <w:rPr>
          <w:rFonts w:ascii="Times New Roman" w:hAnsi="Times New Roman"/>
          <w:sz w:val="20"/>
        </w:rPr>
        <w:t xml:space="preserve">Furthermore, the rapid pace of innovation in the field of AI has led to developing and evolving regulatory frameworks globally, which are expected to become increasingly complex as AI continues to evolve. Regulators and lawmakers around the world have started proposing and adopting regulations and guidance specifically on the use of AI. For example, in December 2023, the EU reached a provisional agreement on the EU AI Act, which will establish a regulatory framework to handle various risks related to AI. While the final text of the EU AI Act has not yet been published, official statements from European lawmakers suggest it will impose material requirements on both the providers and deployers of certain AI technologies, including generative AI models, and that infringement will be punishable by sanctions including fines of up to 7% of total annual worldwide turnover. Once effective, the EU AI Act and other AI regulations could have a material impact on planned business activities involving the development and/or use of AI technologies and/or increase compliance costs. Our customers may become subject to such upcoming AI regulations, which could cause a delay or impediment to the commercialization of AI technology and could lead to a decrease in demand for our customers AI systems, and may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changes in the political, regulatory, and economic policies of governments in connection with trade with China and Chinese customers have reduced the demand for our products and damaged our business. </w:t>
      </w:r>
    </w:p>
    <w:p>
      <w:pPr>
        <w:pStyle w:val="TextBody"/>
        <w:bidi w:val="0"/>
        <w:spacing w:before="120" w:after="0"/>
        <w:jc w:val="both"/>
        <w:rPr>
          <w:rFonts w:ascii="Times New Roman" w:hAnsi="Times New Roman"/>
          <w:sz w:val="20"/>
        </w:rPr>
      </w:pPr>
      <w:r>
        <w:rPr>
          <w:rFonts w:ascii="Times New Roman" w:hAnsi="Times New Roman"/>
          <w:sz w:val="20"/>
        </w:rPr>
        <w:t xml:space="preserve">Regulatory activity, such as tariffs, export controls, economic sanctions, and vigorous enforcement of U.S. export controls and economic sanctions laws have in the past and may continue to materially limit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make sales to our customers in China, which has in the past and may continue to harm our results of operations, reputation, and financial condition. Due to the U.S. government restricting sales to certain customers in China, sales to some of our customers may require licenses in order for us to export our products; however, there can be no assurances that requests for licenses will be approved by the U.S. government. Moreover, concerns that U.S. companies may not be reliable suppliers as a result of these and other actions has caused, and may in the future cause, some of our customers in China to amass large inventories of our products well in advance of need or caused some of our customers to replace our products in favor of products from other suppliers. Additionally, the Chinese government adopted a law with respect to unreliable suppliers. Any designation as an unreliable supplier may have an adverse impact on our business and operations. In addition, there may be indirect impacts to our business that we cannot easily quantify such as the fact that some of our other customers systems may also be impacted by export restrictions. </w:t>
      </w:r>
    </w:p>
    <w:p>
      <w:pPr>
        <w:pStyle w:val="TextBody"/>
        <w:bidi w:val="0"/>
        <w:spacing w:before="240" w:after="0"/>
        <w:jc w:val="both"/>
        <w:rPr>
          <w:rFonts w:ascii="Times New Roman" w:hAnsi="Times New Roman"/>
          <w:sz w:val="20"/>
        </w:rPr>
      </w:pPr>
      <w:r>
        <w:rPr>
          <w:rFonts w:ascii="Times New Roman" w:hAnsi="Times New Roman"/>
          <w:sz w:val="20"/>
        </w:rPr>
        <w:t xml:space="preserve">Any customers in China that are subject to trade restrictions or tariffs, may develop their own products instead of purchasing from us or they may acquire products from our competitors or other third-party sources that are not subject to the U.S. tariffs and trade restrictions. Some customers in China may be able to cancel or defer purchase orders on short notice without incurring a penalty and, therefore, they may be more likely to do so while the tariffs and trade restrictions are in effect. If export restrictions related to Chinese customers are sustained for a long period of time, or increased, or if other export restrictions are imposed, including restrictions on trade with other countries, it will have an adverse impact on our revenue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third-party manufacturing partners, including manufacturers and assembly and test providers, with which we contract, or any additional third-party manufacturing partners with which we may contract in the future, do not achieve satisfactory yields or quality, our reputation and customer relationships could be harmed. </w:t>
      </w:r>
    </w:p>
    <w:p>
      <w:pPr>
        <w:pStyle w:val="TextBody"/>
        <w:bidi w:val="0"/>
        <w:spacing w:before="120" w:after="0"/>
        <w:jc w:val="both"/>
        <w:rPr>
          <w:rFonts w:ascii="Times New Roman" w:hAnsi="Times New Roman"/>
          <w:sz w:val="20"/>
        </w:rPr>
      </w:pPr>
      <w:r>
        <w:rPr>
          <w:rFonts w:ascii="Times New Roman" w:hAnsi="Times New Roman"/>
          <w:sz w:val="20"/>
        </w:rPr>
        <w:t xml:space="preserve">We depend on satisfactory manufacturing capacity, prices, and production yields, as well as timely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Manufacturers with which we contract now or in the future may experience manufacturing defects and reduced manufacturing yields from time to time. If these third-party manufacturing partners were to extend lead times, limit supplies or the types of capacity we require, or increase prices due to capacity constraints or other factors, our revenue and gross margin may materially decline. Any new third-party manufacturing partners we work with may present additional and unexpected manufacturing challenges that could require significant management time and focus. </w:t>
      </w:r>
    </w:p>
    <w:p>
      <w:pPr>
        <w:pStyle w:val="TextBody"/>
        <w:bidi w:val="0"/>
        <w:spacing w:before="240" w:after="0"/>
        <w:jc w:val="both"/>
        <w:rPr>
          <w:rFonts w:ascii="Times New Roman" w:hAnsi="Times New Roman"/>
          <w:sz w:val="20"/>
        </w:rPr>
      </w:pPr>
      <w:r>
        <w:rPr>
          <w:rFonts w:ascii="Times New Roman" w:hAnsi="Times New Roman"/>
          <w:sz w:val="20"/>
        </w:rPr>
        <w:t xml:space="preserve">Changes in manufacturing processes or the inadvertent use of defective or contaminated materials by the manufacturers that we work with could result in lower than anticipated production yields or unacceptable performance of our devices. Many of these problems are difficult to detect at an early stage of the manufacturing process and may be time-consuming and expensive to correct. Poor production yields or defects, integration issues or other performance problems in our products could significantly harm our customer relationships and financial results, and give rise to financial or other damages to our customers. Any product liability claim brought against us, even if unsuccessful, would likely be time-consuming and costly to defend. </w:t>
      </w:r>
    </w:p>
    <w:p>
      <w:pPr>
        <w:pStyle w:val="TextBody"/>
        <w:bidi w:val="0"/>
        <w:spacing w:before="240" w:after="0"/>
        <w:jc w:val="both"/>
        <w:rPr>
          <w:rFonts w:ascii="Times New Roman" w:hAnsi="Times New Roman"/>
          <w:sz w:val="20"/>
        </w:rPr>
      </w:pPr>
      <w:r>
        <w:rPr>
          <w:rFonts w:ascii="Times New Roman" w:hAnsi="Times New Roman"/>
          <w:sz w:val="20"/>
        </w:rPr>
        <w:t xml:space="preserve">Manufacturing yields for new products initially tend to be lower as we complete product development and commence volume manufacturing, and typically increase as we bring the product to full production. Our business model includes the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operating results are impacted by wide fluctuations of supply and demand in the industry. </w:t>
      </w:r>
    </w:p>
    <w:p>
      <w:pPr>
        <w:pStyle w:val="TextBody"/>
        <w:bidi w:val="0"/>
        <w:spacing w:before="120" w:after="0"/>
        <w:jc w:val="both"/>
        <w:rPr>
          <w:rFonts w:ascii="Times New Roman" w:hAnsi="Times New Roman"/>
          <w:sz w:val="20"/>
        </w:rPr>
      </w:pPr>
      <w:r>
        <w:rPr>
          <w:rFonts w:ascii="Times New Roman" w:hAnsi="Times New Roman"/>
          <w:sz w:val="20"/>
        </w:rPr>
        <w:t xml:space="preserve">The semiconductor industry is highly cyclical and subject to wide fluctuations of supply and demand as a result of rapid technological change, rapid product obsolescence and price erosion, evolving standards, and frequent new product introductions. The industry has experienced significant downturns during recent global recessions, characterized by diminished product demand, production overcapacity, and high inventory levels. During these periods, our customers may overstock our products, which would lead to inflated demand for the given period. </w:t>
      </w:r>
    </w:p>
    <w:p>
      <w:pPr>
        <w:pStyle w:val="TextBody"/>
        <w:bidi w:val="0"/>
        <w:spacing w:before="240" w:after="0"/>
        <w:jc w:val="both"/>
        <w:rPr>
          <w:rFonts w:ascii="Times New Roman" w:hAnsi="Times New Roman"/>
          <w:sz w:val="20"/>
        </w:rPr>
      </w:pPr>
      <w:r>
        <w:rPr>
          <w:rFonts w:ascii="Times New Roman" w:hAnsi="Times New Roman"/>
          <w:sz w:val="20"/>
        </w:rPr>
        <w:t xml:space="preserve">Further, any upturn in the semiconductor industry could result in increased competition for access to third-party manufacturing partners. We are dependent on the availability of this capacity to manufacture and assemble our products, and our third-party manufacturing partners have not provided assurances that adequate capacity will be available to us in the future. </w:t>
      </w:r>
    </w:p>
    <w:p>
      <w:pPr>
        <w:pStyle w:val="TextBody"/>
        <w:bidi w:val="0"/>
        <w:spacing w:before="240" w:after="0"/>
        <w:jc w:val="both"/>
        <w:rPr>
          <w:rFonts w:ascii="Times New Roman" w:hAnsi="Times New Roman"/>
          <w:sz w:val="20"/>
        </w:rPr>
      </w:pPr>
      <w:r>
        <w:rPr>
          <w:rFonts w:ascii="Times New Roman" w:hAnsi="Times New Roman"/>
          <w:sz w:val="20"/>
        </w:rPr>
        <w:t xml:space="preserve">In periods when broad fluctuations or changes in business conditions occur, it is difficult to assess the impact on our business. We have sought to reduce our exposure to these fluctuations in our industry by ensuring we have adequate inventory during periods of high demand, including having sufficient supply of components needed to produce more of our products. However, we have experienced substantial period-to-period fluctuations in operating results and expect, in the future, to experience period-to-period fluctuations in operating results due to these changes in business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and may identify additional material weaknesses in the future or fail to maintain an effective system of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material weaknesses in our internal control over financial reporting. </w:t>
      </w:r>
    </w:p>
    <w:p>
      <w:pPr>
        <w:pStyle w:val="TextBody"/>
        <w:bidi w:val="0"/>
        <w:spacing w:before="240" w:after="0"/>
        <w:jc w:val="both"/>
        <w:rPr>
          <w:rFonts w:ascii="Times New Roman" w:hAnsi="Times New Roman"/>
          <w:sz w:val="20"/>
        </w:rPr>
      </w:pPr>
      <w:r>
        <w:rPr>
          <w:rFonts w:ascii="Times New Roman" w:hAnsi="Times New Roman"/>
          <w:sz w:val="20"/>
        </w:rPr>
        <w:t xml:space="preserve">We did not adequately design and maintain an effective risk assessment process at a sufficient precision level to identify risks of material misstatement in our consolidated financial statements. Specifically, the implementation of controls was not sufficient to respond to risks of material misstatement to financial reporting, including a lack of effectively designed controls over segregation of duties, particularly over the preparation and review of journal entries and account reconciliations. </w:t>
      </w:r>
    </w:p>
    <w:p>
      <w:pPr>
        <w:pStyle w:val="TextBody"/>
        <w:bidi w:val="0"/>
        <w:spacing w:before="240" w:after="0"/>
        <w:jc w:val="both"/>
        <w:rPr>
          <w:rFonts w:ascii="Times New Roman" w:hAnsi="Times New Roman"/>
          <w:sz w:val="20"/>
        </w:rPr>
      </w:pPr>
      <w:r>
        <w:rPr>
          <w:rFonts w:ascii="Times New Roman" w:hAnsi="Times New Roman"/>
          <w:sz w:val="20"/>
        </w:rPr>
        <w:t xml:space="preserve">This material weakness could result in a misstatement of substantially all of the financial statement accounts and disclosures that would result in a material misstatement to our annual or interim consolidated financial statements that would not be prevented or detected. </w:t>
      </w:r>
    </w:p>
    <w:p>
      <w:pPr>
        <w:pStyle w:val="TextBody"/>
        <w:bidi w:val="0"/>
        <w:spacing w:before="240" w:after="0"/>
        <w:jc w:val="both"/>
        <w:rPr>
          <w:rFonts w:ascii="Times New Roman" w:hAnsi="Times New Roman"/>
          <w:sz w:val="20"/>
        </w:rPr>
      </w:pPr>
      <w:r>
        <w:rPr>
          <w:rFonts w:ascii="Times New Roman" w:hAnsi="Times New Roman"/>
          <w:sz w:val="20"/>
        </w:rPr>
        <w:t xml:space="preserve">We did not design and maintain effective IT general controls for information systems that are relevant to the preparation of its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w:t>
      </w:r>
    </w:p>
    <w:p>
      <w:pPr>
        <w:pStyle w:val="TextBody"/>
        <w:bidi w:val="0"/>
        <w:spacing w:before="240" w:after="0"/>
        <w:jc w:val="both"/>
        <w:rPr>
          <w:rFonts w:ascii="Times New Roman" w:hAnsi="Times New Roman"/>
          <w:sz w:val="20"/>
        </w:rPr>
      </w:pPr>
      <w:r>
        <w:rPr>
          <w:rFonts w:ascii="Times New Roman" w:hAnsi="Times New Roman"/>
          <w:sz w:val="20"/>
        </w:rPr>
        <w:t xml:space="preserve">These IT deficiencies did not result in a material misstatement to our consolidated financial statements, however, the deficiencies, when aggregated, could impact maintaining effective segregation of duties,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 </w:t>
      </w:r>
    </w:p>
    <w:p>
      <w:pPr>
        <w:pStyle w:val="TextBody"/>
        <w:bidi w:val="0"/>
        <w:spacing w:before="240" w:after="0"/>
        <w:jc w:val="both"/>
        <w:rPr>
          <w:rFonts w:ascii="Times New Roman" w:hAnsi="Times New Roman"/>
          <w:sz w:val="20"/>
        </w:rPr>
      </w:pPr>
      <w:r>
        <w:rPr>
          <w:rFonts w:ascii="Times New Roman" w:hAnsi="Times New Roman"/>
          <w:sz w:val="20"/>
        </w:rPr>
        <w:t xml:space="preserve">We are taking steps to remediate these material weaknesses through the implementation of business process and IT general controls. We plan to review business processes and IT processes and design and implement internal controls consistent with the principles of the Committee of Sponsoring Organizations of the Treadway Commission (COSO) framework to address the risks of material misstatement. Such activities may include designing and implementing new business processes, enhancing information and communication processes, assessing risk, improvements to control documentation, enhancements to segregation of duties and access rights, and deployment of new IT systems and system functionalities as necessary. We also plan to establish a monitoring function over internal control over financial reporting, including internal audit, to evaluate and enhance internal controls consistent with the COSO framework and the requirements of a public company. We further plan to implement and operate an appropriate set of IT general controls covering all financially significant systems, which includes controls covering security administration, segregation of duties, computer operations, system implementations, change management, complementary user controls for hosted systems, oversight activities for significant third-party vendors and others. In order to maintain and improve the effectiveness of our internal control over financial reporting as a public company, and once our material weaknesses have been remediated, we anticipate that we will continue to expend significant resources, including accounting-related costs and significant management oversight. Our current controls and any new controls that we develop may become inadequate because of changes in conditions in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have limited experience with implementing the systems and controls that will be necessary to operate as a public company. If these new systems or controls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 </w:t>
      </w:r>
    </w:p>
    <w:p>
      <w:pPr>
        <w:pStyle w:val="TextBody"/>
        <w:bidi w:val="0"/>
        <w:spacing w:before="240" w:after="0"/>
        <w:jc w:val="both"/>
        <w:rPr>
          <w:rFonts w:ascii="Times New Roman" w:hAnsi="Times New Roman"/>
          <w:sz w:val="20"/>
        </w:rPr>
      </w:pPr>
      <w:r>
        <w:rPr>
          <w:rFonts w:ascii="Times New Roman" w:hAnsi="Times New Roman"/>
          <w:sz w:val="20"/>
        </w:rPr>
        <w:t xml:space="preserve">While we are designing and implementing new controls and measures to remediate these material weaknesses, the measures we are taking may not be sufficient to remediate the material weaknesses or avoid the identification of additional material weaknesses in the future. Any failure to remediate our material weaknesses and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 In addition, if we are unable to continue to meet these requirements, we may not be able to remain listed on the Nasdaq Global Select Market (Nasdaq). </w:t>
      </w:r>
    </w:p>
    <w:p>
      <w:pPr>
        <w:pStyle w:val="TextBody"/>
        <w:bidi w:val="0"/>
        <w:spacing w:before="240" w:after="0"/>
        <w:jc w:val="both"/>
        <w:rPr>
          <w:rFonts w:ascii="Times New Roman" w:hAnsi="Times New Roman"/>
          <w:sz w:val="20"/>
        </w:rPr>
      </w:pPr>
      <w:r>
        <w:rPr>
          <w:rFonts w:ascii="Times New Roman" w:hAnsi="Times New Roman"/>
          <w:sz w:val="20"/>
        </w:rPr>
        <w:t xml:space="preserve">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is not required to formally attest to the effectiveness of our internal control over financial reporting until we are no longer considered an emerging growth company. At such time, our independent registered public accounting firm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difficulties in transitioning to smaller geometry process nodes, and tapeouts in smaller nodes are more expensive. </w:t>
      </w:r>
    </w:p>
    <w:p>
      <w:pPr>
        <w:pStyle w:val="TextBody"/>
        <w:bidi w:val="0"/>
        <w:spacing w:before="120" w:after="0"/>
        <w:jc w:val="both"/>
        <w:rPr>
          <w:rFonts w:ascii="Times New Roman" w:hAnsi="Times New Roman"/>
          <w:sz w:val="20"/>
        </w:rPr>
      </w:pPr>
      <w:r>
        <w:rPr>
          <w:rFonts w:ascii="Times New Roman" w:hAnsi="Times New Roman"/>
          <w:sz w:val="20"/>
        </w:rPr>
        <w:t xml:space="preserve">In order to remain competitive, we have transitioned, and expect to continue to transition, our semiconductor products to be manufactured in accordance with increasingly smaller line width geometries. We periodically evaluate the benefits, on a product-by-product basis, of migrating our product designs to smaller geometry process nodes. We also evaluate the costs of migrating to smaller geometry process nodes, including both actual costs and opportunity costs related to the technologies we choose to forego. These complex transitions are imperative for us to remain competitive with the rest of the industry. </w:t>
      </w:r>
    </w:p>
    <w:p>
      <w:pPr>
        <w:pStyle w:val="TextBody"/>
        <w:bidi w:val="0"/>
        <w:spacing w:before="240" w:after="0"/>
        <w:jc w:val="both"/>
        <w:rPr>
          <w:rFonts w:ascii="Times New Roman" w:hAnsi="Times New Roman"/>
          <w:sz w:val="20"/>
        </w:rPr>
      </w:pPr>
      <w:r>
        <w:rPr>
          <w:rFonts w:ascii="Times New Roman" w:hAnsi="Times New Roman"/>
          <w:sz w:val="20"/>
        </w:rPr>
        <w:t xml:space="preserve">We have been, and may continue to be, dependent on our relationships with our manufacturers to transition to smaller geometry processes successfully. We cannot ensure that the third parties we use will be able to effectively manage any future transitions. If we or any of our partners experience significant delays in a future transition or fail to efficiently implement a transition, we could experience reduced manufacturing yields, delays in product deliveries, and increased expenses, all of which could harm our relationships with our customers and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attract, train, and retain qualified personnel, particularly our design and technical personnel, we may not be able to execute our business strategy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future success depends on our ability to attract and retain qualified personnel, including our management, sales and marketing, and finance, and particularly our design and technical personnel. In addition, partially in response to the novel coronavirus (COVID-19) pandemic, we have a hybrid office structure where certain of our employees work remotely, which adds to the complexity of our business operations. We do not know whether we will be able to retain all of these personnel as we continue to pursue our business strategy. </w:t>
      </w:r>
    </w:p>
    <w:p>
      <w:pPr>
        <w:pStyle w:val="TextBody"/>
        <w:bidi w:val="0"/>
        <w:spacing w:before="240" w:after="0"/>
        <w:jc w:val="both"/>
        <w:rPr>
          <w:rFonts w:ascii="Times New Roman" w:hAnsi="Times New Roman"/>
          <w:sz w:val="20"/>
        </w:rPr>
      </w:pPr>
      <w:r>
        <w:rPr>
          <w:rFonts w:ascii="Times New Roman" w:hAnsi="Times New Roman"/>
          <w:sz w:val="20"/>
        </w:rPr>
        <w:t xml:space="preserve">Historically, we have encountered difficulties in hiring qualified engineers because there is a limited pool of engineers with the expertise required in our field and competition for these personnel is intense in our industry. In addition, competition for these personnel in the San Francisco Bay Area, where our headquarters are located, and in other locations where we maintain offices, is intense. We have from time to time experienced, and we expect to continue to experience, difficulty in hiring and retaining employees with appropriate qualifications. As the source of our technological and product innovations, our design and technical personnel represent a significant asset. The loss of the services of one or more of our key employees, especially our key design and technical personnel, or our inability to attract and retain qualified design and technical personnel, could harm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Many of our key personnel are, or will soon be, vested in a substantial amount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or the exercise price of the options or grant date values of the RSUs, or, conversely, if the exercise price of the options that they hold are significantly above the trading price of our common stock.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would be adversely affected by the departure of existing members of our senior management team.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large part, on the continued contributions of our senior management team, and in particular, the services of Jitendra Mohan, our Co-Founder and Chief Executive Officer, and Sanjay Gajendra, our Co-Founder, President, and Chief Operating Officer. Effective succession planning is also important for our long-term success. Failure to ensure effective transfers of knowledge and smooth transitions involving senior management could hinder our strategic planning and execution. We do not maintain key person life insurance policies, so the loss of one or more of our executive officers or key employees (including any limitation on the performance of their duties or short-term or long-term absences as a result of illness or disability) could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Cybersecurity risks, including cyber-attacks, data breaches, and system vulnerabilities could adversely affect our business and disrupt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We depend heavily on our technology infrastructure and cloud partners and maintain and rely upon certain critical information systems for the effective operation of our business. We routinely collect, receive, process, and store personal information (which may also be referred to as personal data or personally identifiable data) and sensitive data via our information systems, including intellectual property and other proprietary information about our business and that of our customers, employees, suppliers, business partners, and others. These information technology systems are subject to damage or interruption from a number of potential sources, including, but not limited to, natural disasters, destructive or inadequate code, malware, bugs, viruses, system vulnerabilities, power failures, phishing attacks, denial-of-service attacks, cyber-attacks, internal negligence, malfeasance, or other events. </w:t>
      </w:r>
    </w:p>
    <w:p>
      <w:pPr>
        <w:pStyle w:val="TextBody"/>
        <w:bidi w:val="0"/>
        <w:spacing w:before="240" w:after="0"/>
        <w:jc w:val="both"/>
        <w:rPr>
          <w:rFonts w:ascii="Times New Roman" w:hAnsi="Times New Roman"/>
          <w:sz w:val="20"/>
        </w:rPr>
      </w:pPr>
      <w:r>
        <w:rPr>
          <w:rFonts w:ascii="Times New Roman" w:hAnsi="Times New Roman"/>
          <w:sz w:val="20"/>
        </w:rPr>
        <w:t xml:space="preserve">Cyber-attacks are increasing in number and sophistication, are well-financed, in some cases supported by state actors, and are designed to not only attack, but also to evade detection. Since the techniques used to obtain unauthorized access to systems and data, or to otherwise sabotage them, change frequently and are often not recognized until launched against a target, we may be unable to anticipate these techniques or to implement adequate preventative measures. Geopolitical instability, such as the Israel-Hamas war or Russias invasion of Ukraine, may increase the likelihood that we will experience direct or collateral consequences from cyber conflicts between nation-states or other politically motivated actors targeting critical technology infrastructure. Accidental or willful security breaches or other unauthorized access to our information systems or the systems of our third-party service providers, or the existence of computer viruses, malware (such as ransomware), or vulnerabilities in our or their data or software could expose us to a risk of information loss, business disruption, or misappropriation of proprietary and confidential information, including information relating to our products or customers or the personal information of our employees or third parties. Despite our internal controls and investment in security measures, we have in the past, and may again in the future, be subject to cyber-attacks or unauthorized network intrusions. These events, should they occur, could disrupt our business and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as well as fines and other sanctions resulting from any related breaches of data privacy laws and regulations (such as the CCPA), any of which could have a material adverse effect on our business, profitability, and financial condition. In addition, despite our internal controls and processes, malicious code, and cybersecurity vulnerabilities in our products and services may expose our customers to cyberattacks and other security risks, which may result in claims, regulatory action, or reputational damage. While we may be entitled to damages if an adverse event arises from our third-party service providers failure to perform under their agreements with us, any award may be insufficient to cover the actual costs incurred by us and, as a result of a service providers failure to perform, we may be unable to collect any damages. Although to date no such cyber security incidents have had a material adverse impact on our business, we cannot guarantee that future incidents or breaches will not have a materially adverse impact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Further, we continue to devote resources to protect our systems and data from unauthorized access or misuse, and we will likely be required to expend greater resources in the future. </w:t>
      </w:r>
    </w:p>
    <w:p>
      <w:pPr>
        <w:pStyle w:val="TextBody"/>
        <w:bidi w:val="0"/>
        <w:spacing w:before="240" w:after="0"/>
        <w:jc w:val="both"/>
        <w:rPr>
          <w:rFonts w:ascii="Times New Roman" w:hAnsi="Times New Roman"/>
          <w:sz w:val="20"/>
        </w:rPr>
      </w:pPr>
      <w:r>
        <w:rPr>
          <w:rFonts w:ascii="Times New Roman" w:hAnsi="Times New Roman"/>
          <w:sz w:val="20"/>
        </w:rPr>
        <w:t xml:space="preserve">U.S. and foreign regulators have also increased their focus on cybersecurity vulnerabilities and risks. Compliance with laws and regulations concerning privacy, cybersecurity, data governance, and data protection could result in significant expense, and any failure to comply could result in proceedings against us by regulatory authorities or other third parties. Such proceedings could result in (among other things) unfavorable publicity, damage to our reputation, possible financial obligations for liabilities, and government orders to implement additional protective measures or adopt new protocols, which could result in additional material expense. Further, customers and third-party manufacturing partners increasingly demand rigorous contractual, certification, and audit provisions regarding privacy, cybersecurity, data governance, data protection, confidentiality, and intellectual property, which may also increase our overall compliance burden. </w:t>
      </w:r>
    </w:p>
    <w:p>
      <w:pPr>
        <w:pStyle w:val="TextBody"/>
        <w:bidi w:val="0"/>
        <w:spacing w:before="240" w:after="0"/>
        <w:jc w:val="both"/>
        <w:rPr>
          <w:rFonts w:ascii="Times New Roman" w:hAnsi="Times New Roman"/>
          <w:sz w:val="20"/>
        </w:rPr>
      </w:pPr>
      <w:r>
        <w:rPr>
          <w:rFonts w:ascii="Times New Roman" w:hAnsi="Times New Roman"/>
          <w:sz w:val="20"/>
        </w:rPr>
        <w:t xml:space="preserve">We have incurred and may in the future incur significant costs in order to implement, maintain, and/or update security systems that are designed to protect our information systems and the design of our products and services, and we may miscalculate the level of investment necessary to protect our systems adequately. Since the techniques used to obtain unauthorized access or to sabotage systems change frequently and are often not recognized until launched against a target, we may be unable to anticipate these techniques or to implement adequate preventive measures.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is responsible for overseeing managements identification, monitoring, and management of risk. See ManagementRole of Board of Directors in Risk Oversight Process. In particular, our board of directors, through its audit committee, is responsible for oversight of cybersecurity risks, including with respect to the Companys supply chain, suppliers, and service providers, and our management is responsible for day-to-day risk management processes. Our board of directors, through its audit committee, receives reports from management on material cybersecurity risks and the degree of the Companys exposure to those risks. Management has worked, and expects to continue to work, with third-party service providers, as appropriate, to monitor and, as appropriate, respond to cybersecurity risks. However, we cannot guarantee that these risk management processes will be effective at mitigating the risk to our information technology systems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To the extent that any system failure, known or unknown vulnerability, incident or security breach results in material disruptions or interruptions to our operations or the theft, loss, unauthorized access or disclosure of, or damage to our data (including personal information) or confidential information, including our intellectual property, or exposes our customers to cybersecurity threats and attacks, our reputation, business, results of operations, and/or financial condition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impairment of the confidentiality, integrity, or availability of our IT systems, or those of one or more of our IT vendors could have a material adverse effect on our business. </w:t>
      </w:r>
    </w:p>
    <w:p>
      <w:pPr>
        <w:pStyle w:val="TextBody"/>
        <w:bidi w:val="0"/>
        <w:spacing w:before="120" w:after="0"/>
        <w:jc w:val="both"/>
        <w:rPr>
          <w:rFonts w:ascii="Times New Roman" w:hAnsi="Times New Roman"/>
          <w:sz w:val="20"/>
        </w:rPr>
      </w:pPr>
      <w:r>
        <w:rPr>
          <w:rFonts w:ascii="Times New Roman" w:hAnsi="Times New Roman"/>
          <w:sz w:val="20"/>
        </w:rPr>
        <w:t xml:space="preserve">Our business depends on various internally managed IT systems and outsourced IT services, including cloud-based infrastructure services, to support, among other things, the design and simulation of our products, financial reporting, product orders and shipping, human resources, benefit plan administration, IT network development, network monitoring, productivity tools, and electronic communication services. Our operations are dependent upon our and our IT vendors ability to protect our respective IT infrastructure against damage from business continuity events that could have a significant disruptive effect. Although these systems and services are designed to protect and secure our customers, suppliers, and employees confidential information, as well as our own proprietary information, we are dependent on our vendors and providers to adequately address cybersecurity threats to their systems and services. Any failure of these internal or third-party systems and services to operate effectively or any breach of such systems or services could disrupt our operations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subject to complex and evolving laws and regulations regarding privacy, data protection, and cybersecurity, any actual or perceived failure to comply with such laws and regulations could have a material adverse effect on our business. </w:t>
      </w:r>
    </w:p>
    <w:p>
      <w:pPr>
        <w:pStyle w:val="TextBody"/>
        <w:bidi w:val="0"/>
        <w:spacing w:before="120" w:after="0"/>
        <w:jc w:val="both"/>
        <w:rPr>
          <w:rFonts w:ascii="Times New Roman" w:hAnsi="Times New Roman"/>
          <w:sz w:val="20"/>
        </w:rPr>
      </w:pPr>
      <w:r>
        <w:rPr>
          <w:rFonts w:ascii="Times New Roman" w:hAnsi="Times New Roman"/>
          <w:sz w:val="20"/>
        </w:rPr>
        <w:t xml:space="preserve">There are numerous U.S. federal, state, local, and international laws and regulations regarding privacy, data protection, and cybersecurity that govern the collection, receipt, processing, and storage of personal information and other information. The scope of these laws and regulations is expanding and evolving, subject to differing interpretations, may be inconsistent among jurisdictions, or conflict with other rules. We are also subject to the terms of our privacy policies and obligations to third parties, including our customers, related to privacy, data protection, and cybersecurity. </w:t>
      </w:r>
    </w:p>
    <w:p>
      <w:pPr>
        <w:pStyle w:val="TextBody"/>
        <w:bidi w:val="0"/>
        <w:spacing w:before="240" w:after="0"/>
        <w:jc w:val="both"/>
        <w:rPr>
          <w:rFonts w:ascii="Times New Roman" w:hAnsi="Times New Roman"/>
          <w:sz w:val="20"/>
        </w:rPr>
      </w:pPr>
      <w:r>
        <w:rPr>
          <w:rFonts w:ascii="Times New Roman" w:hAnsi="Times New Roman"/>
          <w:sz w:val="20"/>
        </w:rPr>
        <w:t xml:space="preserve">For example, the California Consumer Privacy Act of 2018 (the CCPA) as amended by the California Privacy Rights and Enforcement Act of 2020, originally took effect on January 1, 2020, affords California residents broad privacy rights and protections, and provides for civil penalties for certain violations. Additional states have passed and may in the future pass comprehensive state privacy laws that may impose additional obligations on our business. Data privacy laws and regulations are constantly evolving and can be subject to significant change and/or interpretive application. Varying and evolving jurisdictional requirements could increase the costs and complexity of our compliance efforts and require changes to how we conduct our business. Violations of applicable data privacy laws can result in significant penalties. Any failure, or perceived failure, by us to comply with applicable data protection or other laws could result in proceedings, or actions against us by governmental entities or others, subject us to significant fines, penalties, judgments, and negative publicity, require us to change our business practices, increase the costs and complexity of compliance,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warranty claims and product liability.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 subject to warranty or product liability claims arising from defects or perceived defects in our products or in third-party components that we integrate into our products, which may lead to significant expenses. Our customer contracts typically contain warranty provisions relating to product quality issues. While we generally seek to limit our liability to the replacement of the part or to the revenue received for the product in our agreements, these limitations on liability may not be effective or sufficient in scope in all cases. If a customers equipment fails in use, the customer may incur significant monetary damages including an equipment recall or associated replacement expenses, as well as lost revenue. The customer may claim that a defect in our product caused the equipment failure and assert a claim against us to recover monetary damages. The process of identifying a defective or potentially defective product in systems that have been widely distributed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materially adversely affect our financial condition and results of operations. We may also be exposed to such claims as a result of any acquisition we may undertake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and other legal proceedings may adversely affect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become involved in legal proceedings relating to patent and other intellectual property matters, product liability claims, employee claims, including wrongful termination, tort, or contract claims, federal regulatory investigations, securities class action, and other legal proceedings or investigations, which could have an adverse impact on our business, financial condition, and results of operations and divert the attention of our management from the operation of our business. Litigation is inherently unpredictable and can result in excessive or unanticipated verdicts and/or injunctive relief that affect how we operate our business.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occurrence of events for which we are self-insured, or which exceed our insurance limits, may adversely affect our profitability and liquidity. </w:t>
      </w:r>
    </w:p>
    <w:p>
      <w:pPr>
        <w:pStyle w:val="TextBody"/>
        <w:bidi w:val="0"/>
        <w:spacing w:before="120" w:after="0"/>
        <w:jc w:val="both"/>
        <w:rPr>
          <w:rFonts w:ascii="Times New Roman" w:hAnsi="Times New Roman"/>
          <w:sz w:val="20"/>
        </w:rPr>
      </w:pPr>
      <w:r>
        <w:rPr>
          <w:rFonts w:ascii="Times New Roman" w:hAnsi="Times New Roman"/>
          <w:sz w:val="20"/>
        </w:rPr>
        <w:t xml:space="preserve">We have insurance coverage related to many different types of risk; however, we self-insure for some potentially significant risks and obligations, including those that may exceed policy limits. The risks and exposures that we self-insure include, but are not limited to, employee health matters, business interruption, natural disasters, war and terrorism, certain property matters, product defects, cybersecurity matters, employment risks, environmental matters, political risks, and intellectual property matters. Although we believe we have sufficient capital to satisfy a potential loss, should there be a loss or adverse judgment in an area for which we are self-insured, our financial condition, results of operations, and liquidity may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financial condition, and results of operations could be adversely affected by worldwide economic conditions, as well as political and economic conditions in the countries in which we conduct business. </w:t>
      </w:r>
    </w:p>
    <w:p>
      <w:pPr>
        <w:pStyle w:val="TextBody"/>
        <w:bidi w:val="0"/>
        <w:spacing w:before="120" w:after="0"/>
        <w:jc w:val="both"/>
        <w:rPr>
          <w:rFonts w:ascii="Times New Roman" w:hAnsi="Times New Roman"/>
          <w:sz w:val="20"/>
        </w:rPr>
      </w:pPr>
      <w:r>
        <w:rPr>
          <w:rFonts w:ascii="Times New Roman" w:hAnsi="Times New Roman"/>
          <w:sz w:val="20"/>
        </w:rPr>
        <w:t xml:space="preserve">Our business, financial condition, and results of operations may vary based on changes in our industry, as well as the impact of the global economy on our third-party manufacturing partners and customers. Our results of operations currently depend, in part, on the demand for our products, which in turn are influenced by the amount of business that our customers conduct. To the extent that weak or volatile economic conditions, including due to the pandemics or health epidemics, labor shortages, supply chain disruptions, inflation, geopolitical developments (such as the war in Ukraine, the Israel-Hamas war and the implementation of, or changes to or further expansions of, trade sanctions, export restrictions, tariffs, and embargoes), deterioration of the financial services industry, and other events outside of our control, result in a reduced volume of business for our customers and prospective customers, demand for, and use of, our products may decline. </w:t>
      </w:r>
    </w:p>
    <w:p>
      <w:pPr>
        <w:pStyle w:val="TextBody"/>
        <w:bidi w:val="0"/>
        <w:spacing w:before="240" w:after="0"/>
        <w:jc w:val="both"/>
        <w:rPr>
          <w:rFonts w:ascii="Times New Roman" w:hAnsi="Times New Roman"/>
          <w:sz w:val="20"/>
        </w:rPr>
      </w:pPr>
      <w:r>
        <w:rPr>
          <w:rFonts w:ascii="Times New Roman" w:hAnsi="Times New Roman"/>
          <w:sz w:val="20"/>
        </w:rPr>
        <w:t xml:space="preserve">Furthermore, weak economic conditions may make it more difficult to collect on outstanding accounts receivable and increase our expenses. Specifically, our distributors or customers may fail to make payments when due, default under their agreements with us, or become insolvent or declare bankruptcy, or a supplier may determine that it will no longer do business with us as a customer. Additionally, a distributor,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Further, in the last year as a result of increasing inflation, we have seen labor costs, product supply costs, and other operating expenses rise due to high rates of inflation, but have not been able to offset these costs with higher prices of our products. If customers or prospective customers elect not to purchase our products, as a result of a weak economy or rising inflation and increased costs or otherwise, or our distributors are unable to continue to distribute our products, our business, results of operations, and financial condition could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Our products are manufactured, assembled, and tested outside the United States. Any conflict or uncertainty in these countries, including due to political unrest or safety concerns, could harm our business, financial condition, and results of operations. In addition, if the government of any country in which our products are manufactured or sold sets technical standards for products manufactured in or imported into their country that are not widely shared, it may lead some of our customers to suspend imports of their products into that country,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require manufacturers in that country to manufacture products with different technical standards and disrupt cross-border manufacturing relationships which, in each case,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pursue acquisitions, investments, joint ventures, and dispositions, which could adversely affect our results of operations, and any acquisitions we do make could disrupt our business and harm our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Our growth strategy includes acquiring or investing in businesses that offer complementary products, services, and technologies, enhance our market coverage or technological capabilities or enables us to increase the number of engineering employees. </w:t>
      </w:r>
    </w:p>
    <w:p>
      <w:pPr>
        <w:pStyle w:val="TextBody"/>
        <w:bidi w:val="0"/>
        <w:spacing w:before="240" w:after="0"/>
        <w:jc w:val="both"/>
        <w:rPr>
          <w:rFonts w:ascii="Times New Roman" w:hAnsi="Times New Roman"/>
          <w:sz w:val="20"/>
        </w:rPr>
      </w:pPr>
      <w:r>
        <w:rPr>
          <w:rFonts w:ascii="Times New Roman" w:hAnsi="Times New Roman"/>
          <w:sz w:val="20"/>
        </w:rPr>
        <w:t xml:space="preserve">In the future, we may choose to acquire companies that are complementary to our business, including for the purpose of expanding our new product design capacity, introducing new design, market, or application skills, enhancing, and expanding our existing product lines or grow the number of engineers. We cannot forecast the number, timing or size of future acquisitions, or the effect that any such acquisitions might have on our operating or financial results. </w:t>
      </w:r>
    </w:p>
    <w:p>
      <w:pPr>
        <w:pStyle w:val="TextBody"/>
        <w:bidi w:val="0"/>
        <w:spacing w:before="240" w:after="0"/>
        <w:jc w:val="both"/>
        <w:rPr>
          <w:rFonts w:ascii="Times New Roman" w:hAnsi="Times New Roman"/>
          <w:sz w:val="20"/>
        </w:rPr>
      </w:pPr>
      <w:r>
        <w:rPr>
          <w:rFonts w:ascii="Times New Roman" w:hAnsi="Times New Roman"/>
          <w:sz w:val="20"/>
        </w:rPr>
        <w:t xml:space="preserve">Any acquisitions we may undertake and their integration involve risks and uncertainties,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unexpected delays, challenges and related expenses, and disruption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diversion of managements attention from daily operations and the pursuit of other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incurring significant restructuring charges and amortization expense, assuming liabilities (some of which may be unexpected) and ongoing or new lawsuits, potential impairment of acquired goodwill, acquired in-process research and development charges and other intangible assets, amortization expense, and increasing our expenses and working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deficiencies in internal controls at the acquired business, or other security vulnerabilities or issues, as well as implementing our own management information systems, operating systems, and internal controls for the acquired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due diligence process may fail to identify significant issues with the acquired business products, financial disclosures, accounting practices, legal, tax, and other contingencies, intellectual property rights, compliance with local laws and regulations (and interpretations thereof) in the United States, and multiple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additional acquisition-related debt and contingent liabilities, which could increase our leverage and potentially negatively affect our credit ratings resulting in more restrictive borrowing terms or increased borrowing costs thereby limiting our ability to borrow;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use of a significant portion of our available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dilution of stock ownership of existing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difficulties integrating the acquired business or company and in managing and retaining acquired employees, third-party manufacturing partners, and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inaccuracies in our original estimates and assumptions used to assess a transaction, which may result in us not realizing the expected financial or strategic benefits of any such transaction.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current and future changes to the U.S. and foreign regulatory approval process and requirements related to acquisitions may cause approvals to take longer than anticipated, not be forthcoming or contain burdensome conditions, which may prevent the transaction or jeopardize, delay or reduce the anticipated benefits of the transaction, and impede the execution of our business strategy.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we may also seek to divest or wind down portions of our business, either acquired or otherwise, or we may exit minority investments, any of which could materially affect our cash flows and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operations. Such dispositions involve risks and uncertainties, including our ability to sell such businesses on terms acceptable to us, or at all, disruption to other parts of our business, potential loss of employees or customers, or exposure to unanticipated liabilities or ongoing obligations to us following any such dispositions. In addition, dispositions may include the transfer of technology and/or the licensing of certain intellectual property rights to third parties, which could limit our ability to utilize such intellectual property rights or assert these rights against such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accurately predict our future capital needs, and we may not be able to obtain additional financing to fund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negatively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the section entitled Managements Discussion and Analysis of Financial Condition and Results of Operations, the results of which form the basis for making judgments about the carrying values of assets, liabilities, equity, revenue, and expenses that are not readily apparent from other sources. Significant assumptions and estimates used in preparing our consolidated financial statements include those listed in our consolidated financial statements. If our assumptions change or if actual circumstances differ from those in our assumptions, our results of operations may be adversely affected and may fall below the expectations of securities analysts and investors, resulting in a decline in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reported financial results may be adversely affected by new accounting pronouncements or changes in existing accounting standards and practices. </w:t>
      </w:r>
    </w:p>
    <w:p>
      <w:pPr>
        <w:pStyle w:val="TextBody"/>
        <w:bidi w:val="0"/>
        <w:spacing w:before="120" w:after="0"/>
        <w:jc w:val="both"/>
        <w:rPr>
          <w:rFonts w:ascii="Times New Roman" w:hAnsi="Times New Roman"/>
          <w:sz w:val="20"/>
        </w:rPr>
      </w:pPr>
      <w:r>
        <w:rPr>
          <w:rFonts w:ascii="Times New Roman" w:hAnsi="Times New Roman"/>
          <w:sz w:val="20"/>
        </w:rPr>
        <w:t xml:space="preserve">We prepare our financial statements in conformity with GAAP. These accounting principles are subject to interpretation or changes by the Financial Accounting Standards Board and the SEC. New accounting pronouncements and interpretations of accounting standards and practices have occurred in the past and are expected to occur in the future. New accounting pronouncements or a change in the interpretation of accounting standards or practices may have a significant effect on our reported financial results and may affect our reporting of transactions completed before the change is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pandemic, epidemic, or outbreak of an infectious disease may materially and adversely affect our business and our financial results. </w:t>
      </w:r>
    </w:p>
    <w:p>
      <w:pPr>
        <w:pStyle w:val="TextBody"/>
        <w:bidi w:val="0"/>
        <w:spacing w:before="120" w:after="0"/>
        <w:jc w:val="both"/>
        <w:rPr>
          <w:rFonts w:ascii="Times New Roman" w:hAnsi="Times New Roman"/>
          <w:sz w:val="20"/>
        </w:rPr>
      </w:pPr>
      <w:r>
        <w:rPr>
          <w:rFonts w:ascii="Times New Roman" w:hAnsi="Times New Roman"/>
          <w:sz w:val="20"/>
        </w:rPr>
        <w:t xml:space="preserve">Our business could be adversely affected by health crises in regions where we operate or otherwise do business. For example, the policies and regulations implemented in response to the outbreak of COVID-19 have had a significant impact, both directly and indirectly, on businesses and commerce and the global supply chain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semiconductors. Although restrictions have generally been lifted, additional indirect effects such as supply shortages continue to impact segments of the global economy. Other global health concerns could also result in social, economic, and labor instability in the countries in which we or the third parties with whom we engage operate. The conditions caused by the COVID-19 pandemic and its aftermath as well as macroeconomic conditions have caused diminished liquidity and credit availability, declines in customer confidence, declines in economic growth, increases in unemployment rates and uncertainty about economic stability, and any future health crisis may have a similar impact. </w:t>
      </w:r>
    </w:p>
    <w:p>
      <w:pPr>
        <w:pStyle w:val="TextBody"/>
        <w:bidi w:val="0"/>
        <w:spacing w:before="240" w:after="0"/>
        <w:jc w:val="both"/>
        <w:rPr>
          <w:rFonts w:ascii="Times New Roman" w:hAnsi="Times New Roman"/>
          <w:sz w:val="20"/>
        </w:rPr>
      </w:pPr>
      <w:r>
        <w:rPr>
          <w:rFonts w:ascii="Times New Roman" w:hAnsi="Times New Roman"/>
          <w:sz w:val="20"/>
        </w:rPr>
        <w:t xml:space="preserve">Our operations have in the past been negatively affected by a range of external factors related to the effects of the COVID-19 pandemic that are not within our control. We may also be negatively affected by a future pandemic, epidemic, outbreak of an infectious disease or public health crisis. In the past many cities, counties, states, and even countries have previously imposed or may impose a wide range of restrictions on the physical movement of our employees, partners, and customers to limit the spread of COVID-19, including physical distancing, travel bans and restrictions, closure of non-essential business, quarantines, work-from-home directives, and shelter-in-place orders. These measures have previously caused, and may cause in the future, business slowdowns or shutdowns in affected areas, both regionally and worldwide. If future pandemics, epidemics or other global health crises have a substantial impact on the productivity of our employees and partners, or a continued substantial impact on the ability of our employees to execute responsibilities, or a continued and substantial impact on the ability of our customers to purchase our products, our results of operations, and overall financial performance may be harmed. </w:t>
      </w:r>
    </w:p>
    <w:p>
      <w:pPr>
        <w:pStyle w:val="TextBody"/>
        <w:bidi w:val="0"/>
        <w:spacing w:before="240" w:after="0"/>
        <w:jc w:val="both"/>
        <w:rPr>
          <w:rFonts w:ascii="Times New Roman" w:hAnsi="Times New Roman"/>
          <w:sz w:val="20"/>
        </w:rPr>
      </w:pPr>
      <w:r>
        <w:rPr>
          <w:rFonts w:ascii="Times New Roman" w:hAnsi="Times New Roman"/>
          <w:sz w:val="20"/>
        </w:rPr>
        <w:t xml:space="preserve">To the extent future pandemics, epidemics, outbreaks of infectious diseases, or public health crisis adversely affect our business and financial results, it may also have the effect of heightening many of the other risks described 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current or future laws or regulations or the imposition of new laws or regulations by federal or state agencies or foreign governments could impair our ability to compete in international markets, or subject us to criminal penalties or significant fines which may adversely affect our business and reputation. </w:t>
      </w:r>
    </w:p>
    <w:p>
      <w:pPr>
        <w:pStyle w:val="TextBody"/>
        <w:bidi w:val="0"/>
        <w:spacing w:before="120" w:after="0"/>
        <w:jc w:val="both"/>
        <w:rPr>
          <w:rFonts w:ascii="Times New Roman" w:hAnsi="Times New Roman"/>
          <w:sz w:val="20"/>
        </w:rPr>
      </w:pPr>
      <w:r>
        <w:rPr>
          <w:rFonts w:ascii="Times New Roman" w:hAnsi="Times New Roman"/>
          <w:sz w:val="20"/>
        </w:rPr>
        <w:t xml:space="preserve">Changes in current laws or regulations applicable to us or the imposition of new laws and regulations in the United States or other jurisdictions in which we do business, such as Canada, China, Israel, and Taiwan, could materially and adversely affect our business, financial condition, and results of operations. See BusinessFacilities for a description of how our facilities are used in these various jurisdictions. For example, we are subject to export control laws, regulations, and requirements that limit which products we sell and where and to whom we sell our products. In some cases, it is possible that export licenses would be required from U.S. government agencies for some of our products in accordance with the Export Administration Regulations and the International Traffic in Arms Regulations. We may not be successful in obtaining the necessary export licenses in all instances. Any limitation on our ability to export or sell our products imposed by these laws would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w:t>
      </w:r>
    </w:p>
    <w:p>
      <w:pPr>
        <w:pStyle w:val="TextBody"/>
        <w:bidi w:val="0"/>
        <w:spacing w:before="240" w:after="0"/>
        <w:jc w:val="both"/>
        <w:rPr>
          <w:rFonts w:ascii="Times New Roman" w:hAnsi="Times New Roman"/>
          <w:sz w:val="20"/>
        </w:rPr>
      </w:pPr>
      <w:r>
        <w:rPr>
          <w:rFonts w:ascii="Times New Roman" w:hAnsi="Times New Roman"/>
          <w:sz w:val="20"/>
        </w:rPr>
        <w:t xml:space="preserve">We are also subject to anti-corruption and anti-bribery and similar laws, such as the Foreign Corrupt Practices Act (the FCPA), the U.S. domestic bribery statute contained in 18 U.S.C. § 201, the U.S. Travel Act, the USA PATRIOT Act, the U.K. Bribery Act,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guarantee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global operations expose us to numerous legal and regulatory requirements and failure to comply with such requirements, including unexpected changes to such requirements, could adversely affect our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service our customers around the world. We are subject to numerous, and sometimes conflicting, legal regimes of the United States and foreign national, state, and provincial authorities on matters as diverse as anti-corruption, trade restrictions, tariffs, taxation, sanctions, anti-competition, data security, and privacy. U.S. laws may be different in significant respects from the laws of the PRC or Taiwan, where we utilize a significant portion of our third-party manufacturing partners, and jurisdictions where we seek to expand. U.S. laws could also directly conflict with PRC laws, forcing businesses to choose between compliance with conflicting legal regimes. We also may seek to expand operations in emerging market jurisdictions where legal systems are less developed or familiar to us.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authorities in jurisdictions into or from which we ship our products or import supplies could levy fines, restrict or delay our ability to export products or import supplies, or increase costs associated with the manufacture or transfer of products. </w:t>
      </w:r>
    </w:p>
    <w:p>
      <w:pPr>
        <w:pStyle w:val="TextBody"/>
        <w:bidi w:val="0"/>
        <w:spacing w:before="120" w:after="0"/>
        <w:jc w:val="both"/>
        <w:rPr>
          <w:rFonts w:ascii="Times New Roman" w:hAnsi="Times New Roman"/>
          <w:sz w:val="20"/>
        </w:rPr>
      </w:pPr>
      <w:r>
        <w:rPr>
          <w:rFonts w:ascii="Times New Roman" w:hAnsi="Times New Roman"/>
          <w:sz w:val="20"/>
        </w:rPr>
        <w:t xml:space="preserve">A significant portion of our sales require export and import activities. Our products are subject to laws and regulations that govern international trade, including but not limited to the FCPA, Export Administration Regulations, International Traffic in Arms Regulations and trade sanctions against embargoed countries and restricted parties, including those administered by the U.S. Departments of State, Commerce, and Treasury. Licenses or license exceptions may be required for the shipment of certain products to certain countries. Regulations and laws regarding licensing may also change in the future, requiring us to obtain licenses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products that we have not previously been required to license. Any changes in laws or regulations around license requirements may delay scheduled shipments, which could have a material adverse impact on our revenue within the quarter of a shutdown. </w:t>
      </w:r>
    </w:p>
    <w:p>
      <w:pPr>
        <w:pStyle w:val="TextBody"/>
        <w:bidi w:val="0"/>
        <w:spacing w:before="240" w:after="0"/>
        <w:jc w:val="both"/>
        <w:rPr>
          <w:rFonts w:ascii="Times New Roman" w:hAnsi="Times New Roman"/>
          <w:sz w:val="20"/>
        </w:rPr>
      </w:pPr>
      <w:r>
        <w:rPr>
          <w:rFonts w:ascii="Times New Roman" w:hAnsi="Times New Roman"/>
          <w:sz w:val="20"/>
        </w:rPr>
        <w:t xml:space="preserve">Further, determination by a government that we have failed to comply with trade regulations or anti-bribery regulations can result in penalties which may include denial of export privileges, fines, penalties, and seizure of products, or loss of reputation, any of which could have a material adverse effect on our business, sales, and earnings. A change in laws and regulations could restrict our ability to transfer product to previously permitted countries, customers, distributors or others. For example, in October 2022, the U.S. Commerce Department published an interim final rule entitled Implementation of Additional Export Controls: Certain Advanced Computing and Semiconductor Manufacturing Items; Supercomputer and Semiconductor End Use; Entity List Modification. This regulation imposes restrictions on advanced computing ICs, computer commodities that contain such ICs, as well as on certain semiconductor manufacturing items, and expands controls on transactions involving items for supercomputer and semiconductor manufacturing end-uses. In October 2023, the U.S. Commerce Department issued proposed rules updating the October 2022 rule to seek additional export restrictions for certain semiconductors and related manufacturing equipment, and it is expected the U.S. Commerce Department will continue to revise such regulations in the future. The Export Administration Regulations also effectively prohibits sales of items for a military end use, to a military end-user, or for a military intelligence end-user, or end-use to certain countries, such as Belarus, Burma, Cambodia, Cuba, China, Iran, North Korea, Russia, Syria, and Venezuela. Any of the foregoing changes could adversely impact our operational costs due to the administrative impacts of complying with these regulations and may limit those with whom we conduct business. Any one or more of these sanctions, future sanctions, a change in laws or regulations, or a prohibition on shipment of our products to significant customers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United States and other countries have levied tariffs and taxes on certain goods, implemented trade restrictions, and introduced national security protection policies. Trade tensions between the United States and China, which escalated in 2018, have continued and include the United States increasing tariffs on Chinese origin goods and China increasing tariffs on U.S. origin goods. Increased tariffs on our customers systems could adversely impact their sales, and increased tariffs on our products in comparison to those of our competitors could each result in lower demand for our products. </w:t>
      </w:r>
    </w:p>
    <w:p>
      <w:pPr>
        <w:pStyle w:val="TextBody"/>
        <w:bidi w:val="0"/>
        <w:spacing w:before="240" w:after="0"/>
        <w:jc w:val="both"/>
        <w:rPr>
          <w:rFonts w:ascii="Times New Roman" w:hAnsi="Times New Roman"/>
          <w:sz w:val="20"/>
        </w:rPr>
      </w:pPr>
      <w:r>
        <w:rPr>
          <w:rFonts w:ascii="Times New Roman" w:hAnsi="Times New Roman"/>
          <w:sz w:val="20"/>
        </w:rPr>
        <w:t xml:space="preserve">Further changes in trade or national security protection policy, tariffs, additional taxes, restrictions on exports or other trade barriers, including those taken against the United States in retaliation for U.S. policies, may limit our ability to obtain equipment, components or raw materials (including rare earth minerals), limit our ability to produce products, increase our selling and/or manufacturing costs, decrease margins, reduce the competitiveness of our products, reduce our ability to sell products, or reduce our ability to have mergers and acquisitions approved by governmental agencies, any of which could have a material adverse effect on our business, results of operations, or financial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demands for us to implement business practices that are more stringent than legal requirements may reduce our revenue opportunities or cause us to incur higher costs. </w:t>
      </w:r>
    </w:p>
    <w:p>
      <w:pPr>
        <w:pStyle w:val="TextBody"/>
        <w:bidi w:val="0"/>
        <w:spacing w:before="120" w:after="0"/>
        <w:jc w:val="both"/>
        <w:rPr>
          <w:rFonts w:ascii="Times New Roman" w:hAnsi="Times New Roman"/>
          <w:sz w:val="20"/>
        </w:rPr>
      </w:pPr>
      <w:r>
        <w:rPr>
          <w:rFonts w:ascii="Times New Roman" w:hAnsi="Times New Roman"/>
          <w:sz w:val="20"/>
        </w:rPr>
        <w:t xml:space="preserve">Some of our customers may require that we implement practices that are more stringent than those required by applicable laws with respect to labor requirements, the materials contained in our products, energy efficiency, environmental matters, or other items. To comply with such requirements, we may also require our third-party manufacturing partners to adopt such practices, as needed. Our third-party manufacturing partners may in the future refuse to implement these practices or may charge us more for complying with them. If certain of our third-party manufacturing partners refuse to implement the practices, we may be forced to source from alternate third-party manufacturing partners. The cost to implement such practices may cause us to incur higher costs and reduce our profitability, and if we do not implement such practices, such customers may disqualify us as a supplier, resulting in decreased revenue opportunities. Developing, enforcing, and auditing customer-requested practices at our own sites and in our supply chain will increase our costs and may require more personnel.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Changes in existing tax laws, tax rules, or tax practices may adversely affect our financial results. </w:t>
      </w:r>
    </w:p>
    <w:p>
      <w:pPr>
        <w:pStyle w:val="TextBody"/>
        <w:bidi w:val="0"/>
        <w:spacing w:before="120" w:after="0"/>
        <w:jc w:val="both"/>
        <w:rPr>
          <w:rFonts w:ascii="Times New Roman" w:hAnsi="Times New Roman"/>
          <w:sz w:val="20"/>
        </w:rPr>
      </w:pPr>
      <w:r>
        <w:rPr>
          <w:rFonts w:ascii="Times New Roman" w:hAnsi="Times New Roman"/>
          <w:sz w:val="20"/>
        </w:rPr>
        <w:t xml:space="preserve">The rules governing U.S. federal, state, and local and non-U.S. taxation are constantly under review by persons involved in the legislative process, the Internal Revenue Service, the U.S. Treasury Department, and other taxing authorities. Changes to tax laws or tax rulings, or changes in interpretations of existing laws (which changes may have retroactive application), could adversely affect us or holders of our common stock. These changes could subject us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As we expand the scale of our business activities, any changes in the U.S. and non-U.S. taxation of such activities may increase our effective tax rate and harm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Industry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operate in intensely competitive markets. Our failure to compete effectively, including as a result of industry consolidation, would harm our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semiconductor industry is extremely competitive. We currently compete with a number of large domestic and international companies, some of which have greater financial, technical, and management resources than us. For example, we are facing, and expect we will continue to face, significant competition in the cloud data center infrastructure market. Our Aries product family primarily competes with products offered by Montage Technology and Parade Technologies, Ltd. Our Taurus product family primarily competes with products offered by Broadcom Inc., Credo Technology Group Holding Ltd., and Marvell Technology, Inc. Our Leo product family primarily competes with products offered by Marvell Technology, Inc., Microchip Technology Inc., Montage Technology, and Rambus Inc. Our efforts to introduce new products into markets with entrenched competitors will expose us to additional competitive pressures. In addition, many of our competitors have longer operating histories, greater name recognition, larger customer bases, and greater sales, marketing, and distribution resources than we do and some operate and maintain their own fabrication facilities. </w:t>
      </w:r>
    </w:p>
    <w:p>
      <w:pPr>
        <w:pStyle w:val="TextBody"/>
        <w:bidi w:val="0"/>
        <w:spacing w:before="240" w:after="0"/>
        <w:jc w:val="both"/>
        <w:rPr>
          <w:rFonts w:ascii="Times New Roman" w:hAnsi="Times New Roman"/>
          <w:sz w:val="20"/>
        </w:rPr>
      </w:pPr>
      <w:r>
        <w:rPr>
          <w:rFonts w:ascii="Times New Roman" w:hAnsi="Times New Roman"/>
          <w:sz w:val="20"/>
        </w:rPr>
        <w:t xml:space="preserve">Additionally, customer expectations and requirements have been evolving rapidly. As a result, some of our competitors may be better situated to meet changing customer needs and secure design wins. Increasing competition in the markets in which we operate may negatively impact our revenue and gross margins. For example, competitors with greater financial resources may be able to offer lower prices than us, or they may offer additional products, services or other incentives that we may be unable to match. </w:t>
      </w:r>
    </w:p>
    <w:p>
      <w:pPr>
        <w:pStyle w:val="TextBody"/>
        <w:bidi w:val="0"/>
        <w:spacing w:before="240" w:after="0"/>
        <w:jc w:val="both"/>
        <w:rPr>
          <w:rFonts w:ascii="Times New Roman" w:hAnsi="Times New Roman"/>
          <w:sz w:val="20"/>
        </w:rPr>
      </w:pPr>
      <w:r>
        <w:rPr>
          <w:rFonts w:ascii="Times New Roman" w:hAnsi="Times New Roman"/>
          <w:sz w:val="20"/>
        </w:rPr>
        <w:t xml:space="preserve">We also may experience discriminatory or anti-competitive practices by our competitors that could impede our growth, cause us to incur additional expense or otherwise negatively affect our business. In addition, some of these competitors may use their market power to dissuade our customers from purchasing from us. The semiconductor industry has experienced significant consolidation in recent years which has resulted in several of our competitors becoming much larger in terms of revenue, product offerings, and scale. Our competitors may also establish cooperative relationships among themselves or with third parties or may acquire companies that provide similar products to ours. We expect this trend to continue as companies attempt to improve the leverage of growing research and development costs, strengthen or hold their market positions in an evolving industry, or are unable to continue operations. Companies that are strategic partners in some areas of our business may acquire or form alliances with our competitors, thereby reducing their business with us. We believe that industry consolidation may result in stronger competitors that are better able to compete as sole-source vendors for customers. This could lead to more variability in our operating results. Any of these factors, alone or in combination with others, could harm our business, financial condition, and results of operations and result in a loss of market share and an increase in pricing pressure.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Unfavorable or uncertain conditions in the cloud market, as well as for AI infrastructures, may cause fluctuations in our rate of revenue growth or financial results. </w:t>
      </w:r>
    </w:p>
    <w:p>
      <w:pPr>
        <w:pStyle w:val="TextBody"/>
        <w:bidi w:val="0"/>
        <w:spacing w:before="120" w:after="0"/>
        <w:jc w:val="both"/>
        <w:rPr>
          <w:rFonts w:ascii="Times New Roman" w:hAnsi="Times New Roman"/>
          <w:sz w:val="20"/>
        </w:rPr>
      </w:pPr>
      <w:r>
        <w:rPr>
          <w:rFonts w:ascii="Times New Roman" w:hAnsi="Times New Roman"/>
          <w:sz w:val="20"/>
        </w:rPr>
        <w:t xml:space="preserve">Our solutions are intended to address infrastructure needs for our hyperscaler customers, specifically to support their cloud and AI infrastructure needs. If domestic and global economic conditions worsen, or adoption, use, and commercialization of AI technology does not progress as expected overall spending may be reduced, which would adversely impact demand for our solutions in these cloud and AI infrastructure market. In addition, unfavorable developments with evolving laws and regulations worldwide related to AI, such as those laws that may pause or inhibit continued adoption of AI, including GenAI, may limit global adoption, impede our strategy, and negatively impact our long-term expectations in this area. For example, in light of recent Congressional hearings in the United States, we anticipate that there will continue to be significant developing laws and regulations with respect to AI as the AI industry continues to develop. Even if the demand for cloud and AI compute infrastructure develop in the manner or in the time periods we anticipate, if we do not have timely, competitively priced, market-accepted solutions available to meet our customers planned roll-out of their systems, particularly as they offer new AI infrastructure offerings, we may miss a significant opportunity and our business, financial condition, results of operations, and cash flows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Raw material price fluctuations or decreased availability of certain raw materials can increase the cost of our products, impact our ability to meet customer commitments, and may adversely affect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cost of raw materials is a key element in the cost of our products. Our inability to offset material price inflation could adversely affect our business, financial condition, and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 </w:t>
      </w:r>
    </w:p>
    <w:p>
      <w:pPr>
        <w:pStyle w:val="TextBody"/>
        <w:bidi w:val="0"/>
        <w:spacing w:before="240" w:after="0"/>
        <w:jc w:val="both"/>
        <w:rPr>
          <w:rFonts w:ascii="Times New Roman" w:hAnsi="Times New Roman"/>
          <w:sz w:val="20"/>
        </w:rPr>
      </w:pPr>
      <w:r>
        <w:rPr>
          <w:rFonts w:ascii="Times New Roman" w:hAnsi="Times New Roman"/>
          <w:sz w:val="20"/>
        </w:rPr>
        <w:t xml:space="preserve">Furthermore, increases in the price of certain raw materials may result in increased production costs and may result in a decrease in our gross margins. For example, in the past the industry has seen shortages of packaging materials, including substrates, and also experienced silicon wafer capacity constraints. If these shortages or other shortages of raw materials are to occur in the future, it may cause delays in our ability to produce our products if we are unable to secure adequate supply. Moreover, our third-party manufacturing partners may pass the increase in raw materials and commodity costs onto us, which would further reduce the gross margin of our products. To the extent that we are able to pass along raw material price increases to some of our customers, there is often a delay between the time we are required to pay the increased price and the time we are able to pass these increases along. In addition, because we are a fabless company, global market trends such as shortage of capacity to fulfill our fabrication needs also may increase our raw material costs and thus decrease our gross margins.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customers rely on many different service providers and component suppliers to build their systems, and the frequency at which our products are purchased by our customers and incorporated into their systems may vary. </w:t>
      </w:r>
    </w:p>
    <w:p>
      <w:pPr>
        <w:pStyle w:val="TextBody"/>
        <w:bidi w:val="0"/>
        <w:spacing w:before="120" w:after="0"/>
        <w:jc w:val="both"/>
        <w:rPr>
          <w:rFonts w:ascii="Times New Roman" w:hAnsi="Times New Roman"/>
          <w:sz w:val="20"/>
        </w:rPr>
      </w:pPr>
      <w:r>
        <w:rPr>
          <w:rFonts w:ascii="Times New Roman" w:hAnsi="Times New Roman"/>
          <w:sz w:val="20"/>
        </w:rPr>
        <w:t xml:space="preserve">The success of our products is heavily dependent on the timely introduction, quality, and evolving technical requirements for our customers systems incorporating our products, which are impacted by factors beyond our control. Our customers systems are often very complex and require very specific components, and as a result our customers systems could be delayed due to incompatible deliverables from other service providers. Our customers may experience other difficulties with the supply of the various components of their products or testing and manufacturing of their products that are outside of our control. We incur significant design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development costs in connection with designing our products for customers systems that may not ultimately achieve market acceptance. If our customers experience changing market requirements, failed evaluations or field trials or incompatible deliverables from other service providers, they may delay, change or cancel a project, and we may have incurred significant additional development costs and may not be able to recoup our costs, which in turn would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failure to protect our intellectual property rights adequately could impair our ability to compete effectively or to defend ourselves from litigation, which could harm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part upon protecting our intellectual property. We rely primarily on patent, copyright, trademark, and trade secret laws, as well as intellectual property assignment and confidentiality and non-disclosure agreements and other methods, to protect and establish our rights in our proprietary technologies and know-how. As of February 1, 2024 we have been issued eight patents in the United States and have an additional 24 patent applications pending in the United States. We cannot guarantee that any pending or future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have issued to may issue in the future will protect our current and future products, will provide us with any competitive advantage, or will not be challenged, invalidated or circumvented in the future. </w:t>
      </w:r>
    </w:p>
    <w:p>
      <w:pPr>
        <w:pStyle w:val="TextBody"/>
        <w:bidi w:val="0"/>
        <w:spacing w:before="240" w:after="0"/>
        <w:jc w:val="both"/>
        <w:rPr>
          <w:rFonts w:ascii="Times New Roman" w:hAnsi="Times New Roman"/>
          <w:sz w:val="20"/>
        </w:rPr>
      </w:pPr>
      <w:r>
        <w:rPr>
          <w:rFonts w:ascii="Times New Roman" w:hAnsi="Times New Roman"/>
          <w:sz w:val="20"/>
        </w:rPr>
        <w:t xml:space="preserve">The failure of our patents to adequately protect our products might make it easier for our competitors to offer similar products or technologies. To the extent we pursue any foreign patent protection, it is unlikely that such protection would be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protection and enforcement in foreign countries may not be available. </w:t>
      </w:r>
    </w:p>
    <w:p>
      <w:pPr>
        <w:pStyle w:val="TextBody"/>
        <w:bidi w:val="0"/>
        <w:spacing w:before="240" w:after="0"/>
        <w:jc w:val="both"/>
        <w:rPr>
          <w:rFonts w:ascii="Times New Roman" w:hAnsi="Times New Roman"/>
          <w:sz w:val="20"/>
        </w:rPr>
      </w:pPr>
      <w:r>
        <w:rPr>
          <w:rFonts w:ascii="Times New Roman" w:hAnsi="Times New Roman"/>
          <w:sz w:val="20"/>
        </w:rPr>
        <w:t xml:space="preserve">Monitoring unauthorized use of our intellectual property is difficult and costly. Although we are not aware of any material instances of unauthorized use of our intellectual property in the past, it is possible that unauthorized use of our intellectual property may have occurred or may occur in the future without our knowledge. Despite our efforts, our failure to effectively protect our intellectual property could reduce the value of our solutions, and could harm our business, results of operations, and financial condition. Further, we may in the future need to initiate infringement claims or litigation against third parties. Litigation, whether we are a plaintiff or a defendant, can be expensive, time-consuming, and may divert the efforts of our executives, technical staff, and managerial personnel, which could harm our business, whether or not such litigation results in a determination favorable to us. </w:t>
      </w:r>
    </w:p>
    <w:p>
      <w:pPr>
        <w:pStyle w:val="TextBody"/>
        <w:bidi w:val="0"/>
        <w:spacing w:before="240" w:after="0"/>
        <w:jc w:val="both"/>
        <w:rPr>
          <w:rFonts w:ascii="Times New Roman" w:hAnsi="Times New Roman"/>
          <w:sz w:val="20"/>
        </w:rPr>
      </w:pPr>
      <w:r>
        <w:rPr>
          <w:rFonts w:ascii="Times New Roman" w:hAnsi="Times New Roman"/>
          <w:sz w:val="20"/>
        </w:rPr>
        <w:t xml:space="preserve">Some of the software used within our products, as well as that of some of our customers, may be derived from and/or incorporate so-called open source software that is generally made available to the public by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authors and/or other third parties under open source licenses, which in some instances may subject us to certain unfavorable conditions, including requirements that we offer our proprietary software, which incorporates or links to such open source software, for no cost or that we make such proprietary software publicly available for free. </w:t>
      </w:r>
    </w:p>
    <w:p>
      <w:pPr>
        <w:pStyle w:val="TextBody"/>
        <w:bidi w:val="0"/>
        <w:spacing w:before="240" w:after="0"/>
        <w:jc w:val="both"/>
        <w:rPr>
          <w:rFonts w:ascii="Times New Roman" w:hAnsi="Times New Roman"/>
          <w:sz w:val="20"/>
        </w:rPr>
      </w:pPr>
      <w:r>
        <w:rPr>
          <w:rFonts w:ascii="Times New Roman" w:hAnsi="Times New Roman"/>
          <w:sz w:val="20"/>
        </w:rPr>
        <w:t xml:space="preserve">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While we believe we have complied with our obligations under the various applicable licenses for open source software, in the event the copyright holder of any open source software were to successfully establish in court that we had or have not complied with the terms of a license for a particular work, we could be required to release the source code of that work to the public for free and/or stop distribution of that work. Any requirement to disclose our proprietary source code could have a material adverse effect on our business, financial condition, and results of operations, could result in negative publicity and could help our competitors develop products that are similar to or better than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utilize a significant amount of intellectual property in our business. If we are unable or fail to protect our intellectual property, our business could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We rely on a combination of intellectual property rights, including patents, copyrights, trademarks, and trade secrets, as well as customary contractual protections with our customers, third-party manufacturing partners, employees, and consultants to protect our intellectual property rights. We spend significant resources to monitor and protect our intellectual property rights, including the unauthorized use of our products, usage rates of the software seat licenses and subscriptions that we sell, but even with significant expenditures, we may not be able to protect the intellectual property rights that are valuable to our business. In particular, we are unable to predict or assure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intellectual property rights will not lapse or be invalidated, circumvented, challenged, or, in the case of third-party intellectual property rights licensed to us, be licensed to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intellectual property rights will provide competitive advantages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rights previously granted by third parties to intellectual property licensed or assigned to us, including portfolio cross-licenses, will not hamper our ability to assert our intellectual property rights or hinder the settlement of currently pending or future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pending or future patent, copyright, or trademark applications will be issued or have the coverage originally sought;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will be able to enforce our intellectual property rights in certain jurisdictions where competition is intense or where legal protection may be weak;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sufficient intellectual property rights to protect our products or our business. </w:t>
            </w:r>
          </w:p>
        </w:tc>
      </w:tr>
    </w:tbl>
    <w:p>
      <w:pPr>
        <w:pStyle w:val="TextBody"/>
        <w:bidi w:val="0"/>
        <w:spacing w:before="240" w:after="0"/>
        <w:jc w:val="both"/>
        <w:rPr>
          <w:rFonts w:ascii="Times New Roman" w:hAnsi="Times New Roman"/>
          <w:sz w:val="20"/>
        </w:rPr>
      </w:pPr>
      <w:r>
        <w:rPr>
          <w:rFonts w:ascii="Times New Roman" w:hAnsi="Times New Roman"/>
          <w:sz w:val="20"/>
        </w:rPr>
        <w:t xml:space="preserve">Effective intellectual property protection may not be available in every country in which we offer our products. The laws of certain jurisdictions where we do business or may do business in the future may not recognize intellectual property rights or protect them to the same extent as do the laws of the United States. Any changes in, or unexpected interpretations of, intellectual property laws may compromise our ability to enforce our trade secret and intellectual property rights. In addition, when patents expire, we lose the protection and competitive advantages they originally provided to us. Failure to obtain or maintain protection of our trade secrets or other intellectual property could harm our competitive position and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Further, we may acquire companies with intellectual property that is subject to licensing obligations to other third parties. These licensing obligations may extend to our own intellectual property following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potential acquisition and may limit our ability to assert our intellectual property rights. From time to time, we may pursue litigation to assert our intellectual property rights, including, in some cases, against our customers and third-party manufacturing partners where we believe they have infringed, violated, or misappropriated our intellectual property. Claims of this sort could also harm our relationships with our customers and might deter future customers from doing business with us. Conversely, third parties have and may in the future pursue intellectual property litigation against us. An adverse decision in such types of legal action could result in material expense and limit our ability to assert our intellectual property rights and limit the value of our platform, which could otherwise negatively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technologies for the development of our products and our inability to use such technologies in the future would harm our ability to remain competitive. </w:t>
      </w:r>
    </w:p>
    <w:p>
      <w:pPr>
        <w:pStyle w:val="TextBody"/>
        <w:bidi w:val="0"/>
        <w:spacing w:before="120" w:after="0"/>
        <w:jc w:val="both"/>
        <w:rPr>
          <w:rFonts w:ascii="Times New Roman" w:hAnsi="Times New Roman"/>
          <w:sz w:val="20"/>
        </w:rPr>
      </w:pPr>
      <w:r>
        <w:rPr>
          <w:rFonts w:ascii="Times New Roman" w:hAnsi="Times New Roman"/>
          <w:sz w:val="20"/>
        </w:rPr>
        <w:t xml:space="preserve">We rely on third parties for technologies that are integrated into our products. If we are unable to continue to use or license these technologies on reasonable terms, or if these technologies become unreliable, unavailable or fail to operate properly, we may not be able to secure adequate alternatives in a timely manner or at all, and our ability to offer our products and remain competitive in our market would be harmed. In addition, even if we are unable to successfully license technology from third-parties to develop future products, we may not be able to develop such products in a timely manner or at all. The operation or security of our products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claims of intellectual property infringement, misappropriation or other violations, which could be time-consuming or costly to defend or settle, result in the loss of significant rights or harm our relationships with our customers or reputation in the industry.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third parties may assert against us and our customers their patent and other intellectual property rights to technologies that are used in or are important to our business, which may be time consuming and costly to defend or settle. We may in the future, particularly as a public company with an increased profile and visibility, receive communications from others alleging our infringement, misappropriation or other violation of patents, trade secrets or other intellectual property rights.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improperly used or disclosed trade secrets or other proprietary information. We may also in the future be subject to claims by our third-party manufacturing partners, employees, or contractors asserting an ownership right in our patents, patent applications or other intellectual property, as a result of the work they performed on our behalf. </w:t>
      </w:r>
    </w:p>
    <w:p>
      <w:pPr>
        <w:pStyle w:val="TextBody"/>
        <w:bidi w:val="0"/>
        <w:spacing w:before="240" w:after="0"/>
        <w:jc w:val="both"/>
        <w:rPr>
          <w:rFonts w:ascii="Times New Roman" w:hAnsi="Times New Roman"/>
          <w:sz w:val="20"/>
        </w:rPr>
      </w:pPr>
      <w:r>
        <w:rPr>
          <w:rFonts w:ascii="Times New Roman" w:hAnsi="Times New Roman"/>
          <w:sz w:val="20"/>
        </w:rPr>
        <w:t xml:space="preserve">Claims that our products or processes infringe, misappropriate,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will prevail in these proceedings given the complex technical issues and inherent uncertainties in intellectual property litigation. If any pending or future proceedings result in an adverse outcome, we could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cease the manufacture, use or sale of the infringing products or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 substantial damages for infringement, misappropriation or other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expend significant resources to develop non-infringing products or processes, which may not be successful;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license certain components from the third-party claiming infringement, which license may not be available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cross-license our products to a competitor to resolve an infringement claim, which could weaken our ability to compete with that competitor;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 substantial damages to our customers or end-users to discontinue their use of or to replace infringing product or process sold to them with non-infringing products or processes, if available.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Additionally, even if successful in such proceedings, our rights in our products or processes may be invalidated, or narrowed.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results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potential dispute involving patents or other intellectual property could affect our customers, which could trigger our indemnification obligations to them and result in substantial expense to us. </w:t>
      </w:r>
    </w:p>
    <w:p>
      <w:pPr>
        <w:pStyle w:val="TextBody"/>
        <w:bidi w:val="0"/>
        <w:spacing w:before="120" w:after="0"/>
        <w:jc w:val="both"/>
        <w:rPr>
          <w:rFonts w:ascii="Times New Roman" w:hAnsi="Times New Roman"/>
          <w:sz w:val="20"/>
        </w:rPr>
      </w:pPr>
      <w:r>
        <w:rPr>
          <w:rFonts w:ascii="Times New Roman" w:hAnsi="Times New Roman"/>
          <w:sz w:val="20"/>
        </w:rPr>
        <w:t xml:space="preserve">In any potential dispute involving patents or other intellectual property, our customers could also become the target of litigation. Our agreements with customers generally include indemnification or other provisions under which we agree to indemnify or otherwise be liable to them for losses suffered or incurred as a result of third-party claims of intellectual property infringement. Large indemnity payments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certain of our customer agreements may not include maximum loss clauses, which may result in substantial liability. Any litigation against our customers could trigger indemnification obligations under some of our agreements, which could result in substantial expense to us, and which could materially and adversely affect our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Ownership of Our Common Stock and this Offering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has been no prior public market for our common stock and an active, liquid, and orderly trading market may not develop or be sustained following this offering, which could harm the market price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was no public trading market for our common stock. Although our shares of common stock are expected to be listed on Nasdaq, an active trading market for our common stock may never develop or be sustained following this offering. You may not be able to sell your shares of common stock quickly or at the then-current market price if trading in our common stock is not active. The initial public offering price will be determined by negotiations among the lead underwriters and us. Among the factors to be considered in determining the initial public offering price will be our future prospects and the prospects of our industry in general, our revenue and certain other financial and operating information in recent periods, and the market prices of securities and certain financial and operating information of our competitors. However, there can be no assurance that, following the completion of this offering, our common stock will trade at a price equal to or greater than the public offering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may be volatile, which could cause the value of your investment to decline, and we may not be able to meet investor or analyst expectations.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our common stock has not been traded in a public market. We cannot predict the extent to which a trading market will develop or how liquid that market might become. The initial public offering price may not be indicative of prices that will prevail in the trading market. The trading price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following this offering is therefore likely to be highly volatile and could be subject to wide fluctuations in price in response to various factors, some of which are beyond our control.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changes in our results of operations, and variations between our actual results of operations and the expectations of securities analysts, investors, and the financial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forward-looking financial or operating information we may provide to the public or securities analysts, any changes in this information, or our failure to meet expectations based on this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actions of securities analysts who initiate or maintain coverage of us, changes in financial estimates by any securities analysts who follow our company or our failure to meet these estimates, or the expectations of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operating the performance and stock market valuations of companies in our industry, including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economic conditions and slow or negative growth of related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design wins, acquisitions, new products,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and market new and enhanced products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disruption to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emergence of new sales channels in which we are unable to compete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major change in our board of directors 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governmental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events or factors, including those resulting from political conditions, election cycles, war or incidents of terrorism, or responses to these events.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stock market in general has experienced extreme price and volume fluctuations. Such fluctuations may be even more pronounced in the trading market shortly following this offering. These broad market and industry factors may seriously harm the market price of our common stock, regardless of our actual operating performance. This variability and unpredictability could also result in our failure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 </w:t>
      </w:r>
    </w:p>
    <w:p>
      <w:pPr>
        <w:pStyle w:val="TextBody"/>
        <w:bidi w:val="0"/>
        <w:spacing w:before="240" w:after="0"/>
        <w:jc w:val="both"/>
        <w:rPr>
          <w:rFonts w:ascii="Times New Roman" w:hAnsi="Times New Roman"/>
          <w:sz w:val="20"/>
        </w:rPr>
      </w:pPr>
      <w:r>
        <w:rPr>
          <w:rFonts w:ascii="Times New Roman" w:hAnsi="Times New Roman"/>
          <w:sz w:val="20"/>
        </w:rPr>
        <w:t xml:space="preserve">Trading price fluctuations may also make it more difficult for us to use our common stock as a means to make acquisitions or to use options to purchase our common stock to attract and retain employees.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 and operating results can fluctuate from period to period, which could cause our share price to fluctuate. </w:t>
      </w:r>
    </w:p>
    <w:p>
      <w:pPr>
        <w:pStyle w:val="TextBody"/>
        <w:bidi w:val="0"/>
        <w:spacing w:before="120" w:after="0"/>
        <w:jc w:val="both"/>
        <w:rPr>
          <w:rFonts w:ascii="Times New Roman" w:hAnsi="Times New Roman"/>
          <w:sz w:val="20"/>
        </w:rPr>
      </w:pPr>
      <w:r>
        <w:rPr>
          <w:rFonts w:ascii="Times New Roman" w:hAnsi="Times New Roman"/>
          <w:sz w:val="20"/>
        </w:rPr>
        <w:t xml:space="preserve">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receipt, reduction or cancellation of orders by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or loss of significant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acceptance of our products and our customers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introduce and market new products and technologies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extent of product development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new product announcements and introductions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incurrence of research and development and related new product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cyclical fluctuations in our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significant warranty claims, including those not covered by our third-party manufacturing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our product mix or customer mix;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intellectual property disputes;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loss of key personnel or the inability to attract qualified personnel.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 result of these and other factors, the results of any prior quarterly or annual periods should not be relied upon as indications of our future revenue or operating performance. Fluctuations in our revenue and operating results could cause our share price to decline. You should not rely on our past results as an indication of our future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new investor, you will experience immediate and substantial dilution. </w:t>
      </w:r>
    </w:p>
    <w:p>
      <w:pPr>
        <w:pStyle w:val="TextBody"/>
        <w:bidi w:val="0"/>
        <w:spacing w:before="120" w:after="0"/>
        <w:jc w:val="both"/>
        <w:rPr>
          <w:rFonts w:ascii="Times New Roman" w:hAnsi="Times New Roman"/>
          <w:sz w:val="20"/>
        </w:rPr>
      </w:pPr>
      <w:r>
        <w:rPr>
          <w:rFonts w:ascii="Times New Roman" w:hAnsi="Times New Roman"/>
          <w:sz w:val="20"/>
        </w:rPr>
        <w:t xml:space="preserve">Purchasers in this offering will immediately experience substantial dilution in net tangible book value. Because our common stock has in the past been sold at prices substantially lower than the initial public offering price that you will pay, you will suffer immediate dilution of $    per share in net tangible book value. The exercise of outstanding options warrants or settlement of RSUs in shares upon vesting may result in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substantial amounts of our common stock in the public markets, such as when lock-up restrictions in connection with this offering are released, or the perception that sales might occur, could cause the trading price of our common stock to decline.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common stock into the public market, particularly sales by our directors, executive officers, and stockholders, or the perception that these sales might occur, could cause the trading price of our common stock to decline. Based on the total number of outstanding shares of our common stock as of December 31, 2023, including the conversion of our outstanding preferred stock into an equal number of shares of common stock, upon completion of this offering we will have outstanding a total of    shares of common stock. This assumes no exercise of outstanding options and gives effect to the net issuance of common stock issuable pursuant to the vesting and settlement of RSUs for which the time condition was satisfied as of December 31, 2023, and the issuance of     shares of common stock on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Substantially all of our securities outstanding prior to the completion of this offering are currently restricted from resale as a result of lock-up and market standoff agreements. See the section titled Shares Eligible for Future Sale for additional information. These securities will become available to be sold, subject to earlier release of shares from the restrictions contained in such agreements, on the earlier of (i) the second trading day after the date that we publicly announce earnings for the second quarter following the most recent period for which financial statements are included in this prospectus, and (ii) 180 days after the date of this prospectus. In addition, as further described and subject to the conditions set forth in Shares Eligible for Future Sale and Underwriting, at the commencement of the second trading day after the date that we publicly announce earnings for the first quarter following the most recent period for which financial statements are included in this prospectus (the Initial Post-Offering Earnings Release Date), if the closing price per share of our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on Nasdaq for any five trading days out of the ten consecutive trading day period ending on, and including, the Initial Post-Offering Earnings Release Date is at least 25% greater than the initial public offering price of our common stock set forth on the cover of this prospectus, up to approximately    million shares of common stock held by our current employees and service providers (excluding officers and directors, including our founders) will be immediately available for sale in the public market. </w:t>
      </w:r>
    </w:p>
    <w:p>
      <w:pPr>
        <w:pStyle w:val="TextBody"/>
        <w:bidi w:val="0"/>
        <w:spacing w:before="240" w:after="0"/>
        <w:jc w:val="both"/>
        <w:rPr>
          <w:rFonts w:ascii="Times New Roman" w:hAnsi="Times New Roman"/>
          <w:sz w:val="20"/>
        </w:rPr>
      </w:pPr>
      <w:r>
        <w:rPr>
          <w:rFonts w:ascii="Times New Roman" w:hAnsi="Times New Roman"/>
          <w:sz w:val="20"/>
        </w:rPr>
        <w:t xml:space="preserve">Morgan Stanley and J.P. Morgan may, in their discretion, permit our security holders to sell shares prior to the expiration of the restrictive provisions contained in the lock-up agreements. Sales of a substantial number of these shares upon expiration of the lock-up and market standoff agreements, the perception that such sales may occur or early release of these agreements could cause the trading price of our common stock to fall or make it more difficult for you to sell your shares of common stock at a time and price that you deem appropriate. Shares held by directors, executive officers, and other affiliates will also be subject to volume limitations under Rule 144 under the Securities Act, and various vesting agreements.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of December 31, 2023, we had 10,058,536 options outstanding that, if fully exercised, would result in the issuance of 10,058,536 shares of common stock, as well as 8,582,971 shares of common stock issuable upon the settlement of 8,582,971 RSU awards outstanding. All of the shares of common stock issuable upon the exercise of stock options, subject to RSU awards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 In addition, we intend to file one or more registration statements covering shares of our common stock issued pursuant to our equity incentive plans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240" w:after="0"/>
        <w:jc w:val="both"/>
        <w:rPr>
          <w:rFonts w:ascii="Times New Roman" w:hAnsi="Times New Roman"/>
          <w:sz w:val="20"/>
        </w:rPr>
      </w:pPr>
      <w:r>
        <w:rPr>
          <w:rFonts w:ascii="Times New Roman" w:hAnsi="Times New Roman"/>
          <w:sz w:val="20"/>
        </w:rPr>
        <w:t xml:space="preserve">Following this offering, the holders of up to    shares of our common stock will have rights, subject to some conditions, to require us to file registration statements for the public resale of the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common stock to decline or be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anticipate spending substantial funds in connection with the tax liabilities that arise upon the initial settlement of RSUs in connection with this offering and following this offering. The manner in which we fund these expenditures may have an adverse effect on our financial condition. </w:t>
      </w:r>
    </w:p>
    <w:p>
      <w:pPr>
        <w:pStyle w:val="TextBody"/>
        <w:bidi w:val="0"/>
        <w:spacing w:before="120" w:after="0"/>
        <w:jc w:val="both"/>
        <w:rPr>
          <w:rFonts w:ascii="Times New Roman" w:hAnsi="Times New Roman"/>
          <w:sz w:val="20"/>
        </w:rPr>
      </w:pPr>
      <w:r>
        <w:rPr>
          <w:rFonts w:ascii="Times New Roman" w:hAnsi="Times New Roman"/>
          <w:sz w:val="20"/>
        </w:rPr>
        <w:t xml:space="preserve">We anticipate that we will spend substantial funds to satisfy certain income tax withholding and remittance obligations when we settle our RSUs granted prior to the date of this prospectus, as well as those granted after the date of this prospectus. As of December 31, 2023, 8,582,971 RSUs are outstanding that vest upon the satisfaction of both a time and a liquidity event condition prior to the expiration date applicable to the RSU. The time condition for the majority of our outstanding RSUs is typically satisfied over a period of four years. The liquidity event condition will be satisfied upon the completion of this offering. The RSUs vest on the first date upon which both the time condition and the liquidity event condition are satisfied, and upon vesting we anticipate withholding shares and remitting income taxes on behalf of the holders at the applicable statutory rates, which we refer to as net settlement. Based on the number of RSUs outstanding as of December 31, 2023, for which the time condition has been satisfied on that date, and assuming the liquidity event condition had been satisfied on that date, we estimate that these income tax withholding and remittance obligations would be approximately $    in the aggregate. We currently expect that the average of these withholding tax rates will be approximately    %, based on an assumed initial public offering price of $    per share, the midpoint of the price range set forth on the cover page of this prospectus, and the income taxes due would be based on the then-current value of the underlying shares of our common stock. The amount of these obligations could be higher or lower, depending on the price of shares of our common stock and the actual number of RSUs outstanding for which the time condition has been satisfied on the initial settlement date for those RSUs.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settle these RSUs on the initial settlement date, we would expect to deliver an aggregate of approximately    shares of our common stock to the RSU holders after withholding an aggregate of approximately    shares of our common stock. In order to fund certain tax withholding and remittance obligations on behalf of our RSU holders, we expect to use a portion of the net proceeds from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in the use of proceeds from this offering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will have broad discretion in the application of the net proceeds to us from this offering, including for any of the purposes described in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issuance of additional capital stock in connection with financings, acquisitions, investments, our stock incentive plans, or otherwise will dilute all other stockholders and could negatively affect our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expect to issue additional capital stock in the future that will result in dilution to all other stockholders. We expect to grant equity awards to employees, directors, consultants, and advisors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 Any additional grants of equity awards under our stock incentive plans will also increase stock-based compensation expense and negatively affect our results of operations. Commencing in June 2022, we began granting RSUs to employees. These RSUs vest upon the satisfaction of both a time condition and a liquidity event condition. In the quarter that we complete this initial public offering, we will record stock-based compensation expense for all RSUs that have met the time condition to date. As of December 31, 2023, no stock-based compensation expense had been recognized for RSUs because the liquidity event condition had not occurred. If our initial public offering had occurred on December 31, 2023, we would have recognized $62.3 million of cumulative stock-based compensation expense on that date. Furthermore, assuming our initial public offering had occurred on December 31, 2023, on that date we would have had an additional unrecognized stock-based compensation expense of $51.2 million relating to these RSUs. As a public company, our RSUs will only be subject to time-based vesting, and accordingly we expect to continue to incur stock-based compensation expense as these RSUs vest.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this offering, our executive officers, directors, and stockholders, if they choose to act together, will continue to have the ability to control or significantly influence all matters submitted to shareholders for approval.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completion of this offering, and without giving effect to any purchases that may be made in this offering, our executive officers, directors, and greater than 5% stockholders, in the aggregate, will beneficially own approximately    % of our outstanding common stock (assuming no exercise of the underwriters option to purchase additional shares of common stock and no exercise of outstanding options warrants or settlement of RSUs in shares upon vesting). As a result, such persons, acting together, will have the ability to control or significantly influence all matters submitted to our board of directors or shareholders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approval, including the appointment of our management, the election and removal of directors and approval of any significant transaction, as well as our management and business affairs. In addition, if any of our executive officers, directors, and greater than 5% stockholders were to purchase shares in this offering, or if any of our other current investors were to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any decision on our part to comply only with certain reduced reporting and disclosure requirements applicable to emerging growth companies could make our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or the earlier of, (i) the last day of the fiscal year in which we have total annual gross revenue of $1.235 billion or more, (ii) the date on which we have issued more than $1.0 billion in non-convertible debt during the previous three years, or (iii) the date on which we are deemed to be a large accelerated filer under the rules of the SEC.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240" w:after="0"/>
        <w:jc w:val="both"/>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or series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charter documents and under Delaware law could make an acquisition of our company more difficult, limit attempts by our stockholders to replace or remove our current board of directors, and limit the trading price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Provisions in our amended and restated certificate of incorporation and amended and restated bylaws may have the effect of delaying or preventing a change of control or changes in our management. Our amended and restated certificate of incorporation and our second amended and restated bylaws, which will become effective immediately prior to the completion of this offering, will include provisions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provide that our board of directors will be classified into three classes of directors with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permit our board of directors to establish the number of directors and fill any vacancies and newly-created directorships;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 super-majority voting to amend our second amended and restated bylaws; provided, however, that majority voting shall be required to amend our second amended and restated bylaws if our board of directors recommends that the stockholders approve such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authorize the issuance of blank check preferred stock that our board of directors could use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provide that only our board of directors will be authorized to call a special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provide that the board of directors is expressly authorized to alter or repeal our second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contain advance notice requirements for nominations for election to our board of directors or for proposing matters that can be acted upon by stockholders at annual stockholder meetings.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the trading price of our common stock and trading volume could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trading price would likely decline. If one or more of these analysts cease coverage of us or fail to publish reports on us on a regular basis, demand for our common stock could decrease, potentially causing our common stock trading price and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declare or pay any dividends on our common stock for the foreseeable future. </w:t>
      </w:r>
    </w:p>
    <w:p>
      <w:pPr>
        <w:pStyle w:val="TextBody"/>
        <w:bidi w:val="0"/>
        <w:spacing w:before="120" w:after="0"/>
        <w:jc w:val="both"/>
        <w:rPr>
          <w:rFonts w:ascii="Times New Roman" w:hAnsi="Times New Roman"/>
          <w:sz w:val="20"/>
        </w:rPr>
      </w:pPr>
      <w:r>
        <w:rPr>
          <w:rFonts w:ascii="Times New Roman" w:hAnsi="Times New Roman"/>
          <w:sz w:val="20"/>
        </w:rPr>
        <w:t xml:space="preserve">We do not intend to pay cash dividends on our common stock for the foreseeable future. Consequently, investors must rely on sales of their common stock after price appreciation, which may never occur, as the only way to realize any future gains on their investment. Investors seeking dividends should not purchase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capital expenditure needs, the terms of any preferred equity securities we may issue in the future, covenants in the agreements governing any future indebtedness, other contractual restrictions, industry trends, and any other factors or considerations our board of directors may regard as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second amended and restated bylaws to be adopted immediately following the completion of this offering designate specific courts as the sole and exclusive forum for certain disputes that may be initiated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stockholders, which could limit our stockholders ability to obtain a favorable judicial forum for disputes with us or our directors, officers, or employees. </w:t>
      </w:r>
    </w:p>
    <w:p>
      <w:pPr>
        <w:pStyle w:val="TextBody"/>
        <w:bidi w:val="0"/>
        <w:spacing w:before="120" w:after="0"/>
        <w:jc w:val="both"/>
        <w:rPr>
          <w:rFonts w:ascii="Times New Roman" w:hAnsi="Times New Roman"/>
          <w:sz w:val="20"/>
        </w:rPr>
      </w:pPr>
      <w:r>
        <w:rPr>
          <w:rFonts w:ascii="Times New Roman" w:hAnsi="Times New Roman"/>
          <w:sz w:val="20"/>
        </w:rPr>
        <w:t xml:space="preserve">Pursuant to our second amended and restated bylaws that will be adopted immediately following the completion of this offering, unless we consent in writing to the selection of an alternative forum, the Court of Chancery of the State of Delaware will be the sole and exclusive forum for state law claims for (i) any derivative action or proceeding brought on our behalf; (ii) any action asserting a claim of, or a claim based on, a breach of a fiduciary duty owed by any current or former director, officer or other employee of ours to us or our stockholders; (iii) any action asserting a claim pursuant to any provision of the DGCL, our amended and restated certificate of incorporation or our second amended and restated bylaws or as to which the DGCL confers jurisdiction on the Court of Chancery of the State of Delaware; (iv) any action to interpret, apply, enforce, or determine the validity of our amended and restated certificate of incorporation or our second amended and restated bylaws; or (v) any action asserting a claim governed by the internal affairs doctrine (collectively, the Delaware Forum Provision). The Delaware Forum Provision does not apply to any causes of action arising under the Securities Act or the Securities Exchange Act of 1934, as amended (the Exchange Act). Our second amended and restated bylaws will further provide that unless we consent in writing to the selection of an alternative forum, the federal district courts of the United States will be the sole and exclusive forum for resolving any complaint asserting a cause of action arising under the Securities Act or the Exchange Act and the respective rules and regulations promulgated thereunder (the Federal Forum Provision). In addition, our second amended and restated bylaws will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 </w:t>
      </w:r>
    </w:p>
    <w:p>
      <w:pPr>
        <w:pStyle w:val="TextBody"/>
        <w:bidi w:val="0"/>
        <w:spacing w:before="240" w:after="0"/>
        <w:jc w:val="both"/>
        <w:rPr>
          <w:rFonts w:ascii="Times New Roman" w:hAnsi="Times New Roman"/>
          <w:sz w:val="20"/>
        </w:rPr>
      </w:pPr>
      <w:r>
        <w:rPr>
          <w:rFonts w:ascii="Times New Roman" w:hAnsi="Times New Roman"/>
          <w:sz w:val="20"/>
        </w:rPr>
        <w:t xml:space="preserve">We recognize that 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the federal forum selection provisions purporting to require claims under the Securities Act be brought in federal court, there is uncertainty as to whether courts in other states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support compliance with our public company responsibilities and corporate governance practices. </w:t>
      </w:r>
    </w:p>
    <w:p>
      <w:pPr>
        <w:pStyle w:val="TextBody"/>
        <w:bidi w:val="0"/>
        <w:spacing w:before="120" w:after="0"/>
        <w:jc w:val="both"/>
        <w:rPr>
          <w:rFonts w:ascii="Times New Roman" w:hAnsi="Times New Roman"/>
          <w:sz w:val="20"/>
        </w:rPr>
      </w:pPr>
      <w:r>
        <w:rPr>
          <w:rFonts w:ascii="Times New Roman" w:hAnsi="Times New Roman"/>
          <w:sz w:val="20"/>
        </w:rPr>
        <w:t>As a public company, we will incur significant finance, legal, accounting, and other expenses, including director and officer liability insurance, that we did not incur as a private company, and which we expect to further increase after we are no longer an emerging growth company. The Sarbanes-Oxley Act, the Dodd-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Frank Act, stock exchange listing requirements, and other applicable securities rules and regulations impose various requirements on public companies in the United States. Our management and other personnel are expected to devote a substantial amount of time to support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inaccurate, and even if the markets in which we compete achieve the forecasted growth, our business may not grow at similar rates, or at all. </w:t>
      </w:r>
    </w:p>
    <w:p>
      <w:pPr>
        <w:pStyle w:val="TextBody"/>
        <w:bidi w:val="0"/>
        <w:spacing w:before="120" w:after="0"/>
        <w:jc w:val="both"/>
        <w:rPr>
          <w:rFonts w:ascii="Times New Roman" w:hAnsi="Times New Roman"/>
          <w:sz w:val="20"/>
        </w:rPr>
      </w:pPr>
      <w:r>
        <w:rPr>
          <w:rFonts w:ascii="Times New Roman" w:hAnsi="Times New Roman"/>
          <w:sz w:val="20"/>
        </w:rPr>
        <w:t xml:space="preserve">Market opportunity estimates and growth forecasts included in this prospectus are subject to significant uncertainty and are based on assumptions and estimates which may not prove to be accurate, including third-party market research and internal estimates. The estimates and forecasts included in this prospectus relating to size and expected growth of our target markets, as well as our assumptions incorporated in such estimates and forecasts, may prove to be inaccurate. While we believe the information on which we base our market opportunity estimates and forecasts is generally reliable, such information is inherently imprecise. Furthermore,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 including those described herein. If our market opportunity estimates or growth forecasts prove to be inaccurate, our future growth opportunities may be limited and there could be a material adverse effect on our prospects,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rom285484_3"/>
      <w:bookmarkEnd w:id="5"/>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prospectus, including statements regarding our strategy, future operations, financial position, estimated revenue and losses, projected costs, prospects, plans, and objectives of management are forward-looking statements.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our revenue, expenses, and other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acquire new customers and grow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successfully retain existing customers and expand sales within our existing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launching new products and adding new product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investments in developing and enhancing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expectations regarding our ability to expand;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anticipated capital expenditures and our estimates regarding our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estimated size of our TAM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investments in our selling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reliance on our senior management team and our ability to identify, recruit, and retain skilled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effectively manage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economic and industry trends and other macroeconomic factors, such as fluctuating interest rates and rising inflation;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global pandemics, health crises, political conflicts and other global financial, economic, and political events on our industry, business, and results of operations.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caution you that the foregoing list may not contain all of the forward-looking statements made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We have based the forward-looking statements contained in this prospectus primarily on managements current beliefs and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prospectus relate only to events as of the date on which the statements are made. We undertake no obligation to update any forward-looking statements made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rom285484_4"/>
      <w:bookmarkEnd w:id="6"/>
      <w:r>
        <w:rPr>
          <w:rFonts w:ascii="Times New Roman" w:hAnsi="Times New Roman"/>
          <w:b/>
          <w:sz w:val="20"/>
        </w:rPr>
        <w:t xml:space="preserve">INDUSTRY AND MARKET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statistical data, estimates, and forecasts regarding our industry that are based on various sources, including independent industry publications and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 </w:t>
      </w:r>
    </w:p>
    <w:p>
      <w:pPr>
        <w:pStyle w:val="TextBody"/>
        <w:bidi w:val="0"/>
        <w:spacing w:before="240" w:after="0"/>
        <w:jc w:val="both"/>
        <w:rPr>
          <w:rFonts w:ascii="Times New Roman" w:hAnsi="Times New Roman"/>
          <w:sz w:val="20"/>
        </w:rPr>
      </w:pPr>
      <w:r>
        <w:rPr>
          <w:rFonts w:ascii="Times New Roman" w:hAnsi="Times New Roman"/>
          <w:sz w:val="20"/>
        </w:rPr>
        <w:t xml:space="preserve">Certain information in the text of this prospectus is contained in independent industry publications and publicly-available reports. The sources of these independent industry publications and publicly-available reports are provided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IDC, IDC FutureScape: Artificial Intelligence Will Reshape the IT Industry and the Way Businesses Operate (IDC #US51335823)  October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IDC, Revelations in the Global StorageSphere (IDC #US49346223)  July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*Gartner, Inc., Strategic Roadmap for Migrating Data Management Solutions to the Cloud  September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*Gartner, Inc., Semiconductors and Electronics Forecast Database, Worldwide, 3Q23 Update  October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IDC, Generative Artificial Intelligence: A New Chapter for Enterprise Business Applications (IDC # US50471523)  March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SemiAnalysis, AI Server Cost Analysis  Memory Is The Biggest Loser  May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DellOro Group, Data Center IT Capex Five Year Forecast Report 2023-2027  July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Yole Intelligence, Memory-Processor Interface 2023  Focus on Compute Express Link (CXL)  September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ABI Research, PCI Express Market Vertical Opportunity  April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650 Group, LLC, Interconnect Functionality  Evolution or Revolution to Support AI and ML Workloads? Forecast and Report  November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650 Group, LLC, Active Electrical Cables (AEC) Quarterly Market and Long-Term Forecast Report, Q2 2023  August 2023.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w:t>
      </w:r>
    </w:p>
    <w:p>
      <w:pPr>
        <w:pStyle w:val="TextBody"/>
        <w:bidi w:val="0"/>
        <w:spacing w:before="240" w:after="0"/>
        <w:jc w:val="both"/>
        <w:rPr>
          <w:rFonts w:ascii="Times New Roman" w:hAnsi="Times New Roman"/>
          <w:sz w:val="20"/>
        </w:rPr>
      </w:pPr>
      <w:r>
        <w:rPr>
          <w:rFonts w:ascii="Times New Roman" w:hAnsi="Times New Roman"/>
          <w:sz w:val="20"/>
        </w:rPr>
        <w:t xml:space="preserve">GARTNER is a registered trademark and service mark of Gartner, Inc. and/or its affiliates in the U.S. and internationally and is used herein with permission. All rights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rom285484_5"/>
      <w:bookmarkEnd w:id="7"/>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the net proceeds from the sale of shares of our common stock that we are selling in this offering will be approximately $   million (or approximately $   million if the underwriters option to purchase additional shares is exercised in full), based upon an assumed initial public offering price of $   per share, which is the midpoint of the estimated offering price range set forth on the cover page of this prospectus, and after deducting estimated underwriting discounts and commissions and estimated offering expenses payable by us. We will not receive any proceeds from the sale of the shares of common stock being offered by the selling stockholders. </w:t>
      </w:r>
    </w:p>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estimated offering price range set forth on the cover page of this prospectus, would increase or decrease, as applicable, the net proceeds that we receive from this offering by approximately $   million, assuming that the number of shares of common stock offered by us, as set forth on the cover page of this prospectus, remains the same and after deducting the estimated underwriting discounts and commissions and estimated offering expenses payable by us. Similarly, each increase or decrease of    million in the number of shares of our common stock offered by us would increase or decrease the net proceeds that we receive from this offering by approximately $   million, assuming the assumed initial public offering price remains the same and after deducting the estimated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We currently intend to use the net proceeds that we will receive from this offering for working capital and other general corporate purposes. We may also use a portion of the net proceeds that we receive to acquire or invest in complementary businesses, products, services, technologies, or other assets. We do not, however, have any agreements or commitments to enter into any acquisitions or investments at this time. </w:t>
      </w:r>
    </w:p>
    <w:p>
      <w:pPr>
        <w:pStyle w:val="TextBody"/>
        <w:bidi w:val="0"/>
        <w:spacing w:before="240" w:after="0"/>
        <w:jc w:val="both"/>
        <w:rPr>
          <w:rFonts w:ascii="Times New Roman" w:hAnsi="Times New Roman"/>
          <w:sz w:val="20"/>
        </w:rPr>
      </w:pPr>
      <w:r>
        <w:rPr>
          <w:rFonts w:ascii="Times New Roman" w:hAnsi="Times New Roman"/>
          <w:sz w:val="20"/>
        </w:rPr>
        <w:t xml:space="preserve">We also intend to use a portion of the net proceeds we receive from this offering to satisfy the anticipated tax withholding and remittance obligations of approximately $    million related to the settlement of our outstanding RSUs in connection with this offering, based on 2,821,234 RSUs outstanding as of December 31, 2023 for which the time vesting condition has been satisfied as of December 31, 2023, and an additional 501,440 RSUs for which the time vesting condition has been satisfied as of February 15, 2024, and for which the liquidity event condition will be satisfied upon the completion of this offering, the assumed initial public offering price of $    per share, which is the midpoint of the estimated offering price range set forth on the cover page of this prospectus, and an assumed    % tax withholding rate. Each $1.00 increase or decrease in the assumed initial public offering of $   price per share, which is the midpoint of the estimated offering price range set forth on the cover page of this prospectus, would increase or decrease the amount we would be required to pay to satisfy our tax withholding and remittance obligations related to the RSU settlement by approximately $    million. In addition, a 1% increase or decrease in the tax withholding rate would increase or decrease the amount of tax withholding and remittance obligations related to the RSU settlement by $     million. </w:t>
      </w:r>
    </w:p>
    <w:p>
      <w:pPr>
        <w:pStyle w:val="TextBody"/>
        <w:bidi w:val="0"/>
        <w:spacing w:before="240" w:after="0"/>
        <w:jc w:val="both"/>
        <w:rPr>
          <w:rFonts w:ascii="Times New Roman" w:hAnsi="Times New Roman"/>
          <w:sz w:val="20"/>
        </w:rPr>
      </w:pPr>
      <w:r>
        <w:rPr>
          <w:rFonts w:ascii="Times New Roman" w:hAnsi="Times New Roman"/>
          <w:sz w:val="20"/>
        </w:rPr>
        <w:t xml:space="preserve">The expected use of net proceeds from this offering represents our intentions based upon our present plans and business conditions. We cannot specify with certainty the particular uses of the net proceeds that we will receive from this offering or the amounts we actually spend on the uses set forth above. The timing and amount of our actual expenditures will be based on many factors, including cash flows from operations and the anticipated growth of our business.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rom285484_6"/>
      <w:bookmarkEnd w:id="8"/>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We have never declared or paid any cash dividend on our capital stock. We currently intend to retain any future earnings, if any, to fund the development and expansion of our business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285484_7"/>
      <w:bookmarkEnd w:id="9"/>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cash and restricted cash, as well as our capitalization, as of December 31, 2023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giving effect to (i) the filing and effectiveness of our amended and restated certificate of incorporation and the adoption of our second amended and restated bylaws; (ii) the automatic conversion of all of our outstanding convertible preferred stock into an equal number of shares of our common stock; (iii) the net issuance of    shares of our common stock issuable pursuant to the vesting and settlement of RSUs for which the time condition was satisfied as of December 31, 2023, and for which the liquidity event condition will be satisfied upon completion of this offering, after withholding an aggregate of shares to satisfy associated estimated income tax obligations (based on an assumed % tax withholding rate); (iv) the increase in other accrued liabilities and an equivalent decrease in additional paid-in capital in connection with tax withholding and remittance obligations related to such RSUs, based upon an assumed initial public offering price of $   per share, which is the midpoint of the estimated offering price range set forth on the cover page of this prospectus, all of which will occur immediately prior to the completion of this offering, as if such actions had occurred on December 31, 2023; and (v) $62.3 million of cumulative stock-based compensation expense related to the RSUs for which the time condition was satisfied as of December 31, 2023, which expense was unrecognized as of December 31, 2023, and for which the liquidity event condition will be satisfied upon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giving effect to (i) the pro forma adjustments set forth above and (ii) the sale and issuance by us of    shares of our common stock in this offering, based on an assumed initial public offering price of $   per share, which is the midpoint of the estimated offering price range set forth on the cover page of this prospectus,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 titled Managements Discussion and Analysis of Financial Condition and Results of Operations that are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1"/>
        <w:gridCol w:w="346"/>
        <w:gridCol w:w="140"/>
        <w:gridCol w:w="908"/>
        <w:gridCol w:w="155"/>
        <w:gridCol w:w="301"/>
        <w:gridCol w:w="170"/>
        <w:gridCol w:w="983"/>
        <w:gridCol w:w="60"/>
        <w:gridCol w:w="346"/>
        <w:gridCol w:w="220"/>
        <w:gridCol w:w="1218"/>
        <w:gridCol w:w="67"/>
      </w:tblGrid>
      <w:tr>
        <w:trPr/>
        <w:tc>
          <w:tcPr>
            <w:tcW w:w="5291"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5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7" w:type="dxa"/>
            <w:tcBorders/>
            <w:vAlign w:val="bottom"/>
          </w:tcPr>
          <w:p>
            <w:pPr>
              <w:pStyle w:val="TableContents"/>
              <w:bidi w:val="0"/>
              <w:spacing w:before="0" w:after="283"/>
              <w:jc w:val="left"/>
              <w:rPr/>
            </w:pPr>
            <w:r>
              <w:rPr/>
              <w:t> </w:t>
            </w:r>
          </w:p>
        </w:tc>
      </w:tr>
      <w:tr>
        <w:trPr/>
        <w:tc>
          <w:tcPr>
            <w:tcW w:w="52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w:t>
            </w:r>
          </w:p>
        </w:tc>
        <w:tc>
          <w:tcPr>
            <w:tcW w:w="67" w:type="dxa"/>
            <w:tcBorders/>
            <w:vAlign w:val="bottom"/>
          </w:tcPr>
          <w:p>
            <w:pPr>
              <w:pStyle w:val="TableContents"/>
              <w:bidi w:val="0"/>
              <w:spacing w:before="0" w:after="283"/>
              <w:jc w:val="left"/>
              <w:rPr/>
            </w:pPr>
            <w:r>
              <w:rPr/>
              <w:t> </w:t>
            </w:r>
          </w:p>
        </w:tc>
      </w:tr>
      <w:tr>
        <w:trPr/>
        <w:tc>
          <w:tcPr>
            <w:tcW w:w="5291"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501" w:type="dxa"/>
            <w:gridSpan w:val="10"/>
            <w:tcBorders/>
            <w:vAlign w:val="bottom"/>
          </w:tcPr>
          <w:p>
            <w:pPr>
              <w:pStyle w:val="TableContents"/>
              <w:bidi w:val="0"/>
              <w:spacing w:before="0" w:after="283"/>
              <w:jc w:val="center"/>
              <w:rPr>
                <w:b/>
              </w:rPr>
            </w:pPr>
            <w:r>
              <w:rPr>
                <w:b/>
              </w:rPr>
              <w:t>(in thousands, except per share data)</w:t>
            </w:r>
          </w:p>
        </w:tc>
        <w:tc>
          <w:tcPr>
            <w:tcW w:w="67" w:type="dxa"/>
            <w:tcBorders/>
            <w:vAlign w:val="bottom"/>
          </w:tcPr>
          <w:p>
            <w:pPr>
              <w:pStyle w:val="TableContents"/>
              <w:bidi w:val="0"/>
              <w:spacing w:before="0" w:after="283"/>
              <w:jc w:val="left"/>
              <w:rPr/>
            </w:pPr>
            <w:r>
              <w:rPr/>
              <w:t> </w:t>
            </w:r>
          </w:p>
        </w:tc>
      </w:tr>
      <w:tr>
        <w:trPr/>
        <w:tc>
          <w:tcPr>
            <w:tcW w:w="5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45,098</w:t>
            </w:r>
          </w:p>
        </w:tc>
        <w:tc>
          <w:tcPr>
            <w:tcW w:w="15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52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21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91"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par value $0.0001 per share: 91,131 shares authorized and 90,891 shares issued and outstanding, actual; no shares authorized, issued and outstanding, pro forma and pro forma as adjusted</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255,127</w:t>
            </w:r>
          </w:p>
        </w:tc>
        <w:tc>
          <w:tcPr>
            <w:tcW w:w="15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0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9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$ 0.0001 par value; 162,641 shares authorized, 42,046 shares issued and outstanding, actual; 1,000,000 shares authorized,    shares issued and outstanding, pro forma; 1,000,000 shares authorized,    shares issued and outstanding, pro forma as adjusted</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par value $ 0.0001 per share: no shares authorized, issued and outstanding, actual; 100,000 shares authorized, no shares issued and outstanding, pro forma and pro forma as adjusted</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91"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27,411</w:t>
            </w:r>
          </w:p>
        </w:tc>
        <w:tc>
          <w:tcPr>
            <w:tcW w:w="15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(125,375</w:t>
            </w:r>
          </w:p>
        </w:tc>
        <w:tc>
          <w:tcPr>
            <w:tcW w:w="15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9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8" w:type="dxa"/>
            <w:tcBorders/>
            <w:vAlign w:val="bottom"/>
          </w:tcPr>
          <w:p>
            <w:pPr>
              <w:pStyle w:val="TableContents"/>
              <w:bidi w:val="0"/>
              <w:spacing w:before="0" w:after="283"/>
              <w:jc w:val="right"/>
              <w:rPr/>
            </w:pPr>
            <w:r>
              <w:rPr/>
              <w:t>(97,960</w:t>
            </w:r>
          </w:p>
        </w:tc>
        <w:tc>
          <w:tcPr>
            <w:tcW w:w="155"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52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21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157,167</w:t>
            </w:r>
          </w:p>
        </w:tc>
        <w:tc>
          <w:tcPr>
            <w:tcW w:w="155"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21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291"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21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estimated offering price range set forth on the cover page of this prospectus, would increase or decrease, as applicable, our cash and cash equivalents, additional paid-in capital, total stockholders equity (deficit), and total capitalization by approximately $   million, assuming that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our common stock offered by us would increase or decrease, as applicable, our cash and cash equivalents, additional paid-in capital, total stockholders equity (deficit), and total capitalization by approximately $   million, assuming the assumed initial public offering price remains the same, and after deducting underwriting discounts and commissions and estimated offering expenses payable by us. </w:t>
      </w:r>
    </w:p>
    <w:p>
      <w:pPr>
        <w:pStyle w:val="TextBody"/>
        <w:bidi w:val="0"/>
        <w:spacing w:before="240" w:after="0"/>
        <w:jc w:val="both"/>
        <w:rPr>
          <w:rFonts w:ascii="Times New Roman" w:hAnsi="Times New Roman"/>
          <w:sz w:val="20"/>
        </w:rPr>
      </w:pPr>
      <w:r>
        <w:rPr>
          <w:rFonts w:ascii="Times New Roman" w:hAnsi="Times New Roman"/>
          <w:sz w:val="20"/>
        </w:rPr>
        <w:t xml:space="preserve">The pro forma column in the table above is based on     shares of our common stock outstanding as of December 31,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10,058,536 shares of our common stock issuable upon the exercise of options to purchase shares of our common stock that were outstanding as of December 31, 2023, with a weighted-average exercise price of $0.84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5,761,737 shares of our common stock that are issuable in connection with the settlement of RSUs upon satisfaction of both a time condition and a liquidity event condition, for which the time condition has not yet been satisfied as of December 31, 2023 (the time condition for certain of these RSUs was satisfied as of February 15, 2024, which we expect will result in the net issuance of     shares of our common stock in connection with this offering, after withholding an aggregate of     shares of common stock to satisfy associated estimated income tax obligations (based on an assumed initial public offering price of $    per share, which is the midpoint of the price range set forth on the cover page of this prospectus, and an assumed  % tax withholding rate)), that were granted prior to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7,534,358 shares of our common stock that are issuable in connection with the settlement of RSUs upon satisfaction of both a time condition and a liquidity event condition, for which the time condition has not yet been satisfied as of December 31, 2023 and that were granted after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2,442,360 shares of our common stock issuable upon the exercise of warrants to purchase shares of our common stock outstanding as of December 31, 2023, with a weighted-average exercise price of $19.30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1,888,466 shares of our common stock reserved for future issuance pursuant to our 2018 Plan, which shares will be added to the shares of our common stock reserved for future issuance under our 2024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ESPP.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of our 2024 Plan and our ESPP provide for annual automatic increases in the number of shares of our common stock reserved thereunder, and our 2024 Plan provides for increases to the number of shares of our common stock that may be granted thereunder based on shares underlying any awards under our 2018 Plan that expire, are forfeited or are otherwise terminated, as more fully described in the section titled Executive CompensationEmployee Benefit and Equity Compensation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rom285484_8"/>
      <w:bookmarkEnd w:id="10"/>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common stock in this offering and the pro forma as adjusted net tangible book value per share of common stock immediately after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pro forma net tangible book value as of December 31, 2023 was $   million, or $   per share, based on the total number of shares of our common stock outstanding as of December 31, 2023, after giving effect to (i) the filing and effectiveness of our amended and restated certificate of incorporation and the adoption of our second amended and restated bylaws; (ii) the conversion of all of our outstanding convertible preferred stock into an equal number of shares of our common stock; (iii) the net issuance of shares of our common stock issuable pursuant to the vesting and settlement of RSUs for which the time condition was satisfied as of December 31, 2023, and for which the liquidity event condition will be satisfied upon completion of this offering, after withholding an aggregate of shares to satisfy associated estimated income tax obligations (based on an assumed  % tax withholding rate); (iv) the increase in other accrued liabilities and an equivalent decrease in additional paid-in capital in connection with tax withholding and remittance obligations related to such RSUs, based upon an assumed initial public offering price of $   per share, which is the midpoint of the estimated offering price range set forth on the cover page of this prospectus, all of which will occur immediately prior to the completion of this offering, as if such actions had occurred on December 31, 2023; and (v) $62.3 million of cumulative stock-based compensation expense related to the RSUs for which the time condition was satisfied as of December 31, 2023, which expense was unrecognized as of December 31, 2023, and for which the liquidity event condition will be satisfied upon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the sale by us of    shares of our common stock in this offering at an assumed initial public offering price of $   per share, which is the midpoint of the estimated offering price range set forth on the cover page of this prospectus, after deducting estimated underwriting discounts and commissions and estimated offering expenses payable by us, our pro forma as adjusted net tangible book value as of December 31, 2023 would have been $   million, or $   per share. This represents an immediate increase in pro forma net tangible book value of $   per share to our existing stockholders and immediate dilution of $   per share to investors purchasing shares of our common stock in this offering. There is no impact on dilution per share to investors participating in this offering as a result of the sale of shares of common stock by the selling stockholders. The following table illustrates this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25"/>
        <w:gridCol w:w="322"/>
        <w:gridCol w:w="140"/>
        <w:gridCol w:w="816"/>
        <w:gridCol w:w="60"/>
        <w:gridCol w:w="322"/>
        <w:gridCol w:w="140"/>
        <w:gridCol w:w="816"/>
        <w:gridCol w:w="64"/>
      </w:tblGrid>
      <w:tr>
        <w:trPr/>
        <w:tc>
          <w:tcPr>
            <w:tcW w:w="7525"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5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525"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December 31, 2023</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52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25"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immediately after this offering</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52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5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pro forma net tangible book value per share to new investors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7525"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estimated offering price range set forth on the cover page of this prospectus, would increase or decrease, as applicable, our pro forma as adjusted net tangible book value per share to new investors by $   , and would increase or decrease, as applicable, dilution per share to new investors in this offering by $   , assuming that the number of shares of our common stock offered by us, as set forth on the cover page of this prospectus, remains the same and after deducting estimated underwriting discounts and commissions and estimated offering expenses payable by us and tax withholdings related to the settlement of RSUs.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extent any outstanding options to purchase common stock are exercised, new investors would experience further dilution. If the underwriters exercise their option to purchase additional shares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common stock from us in full, the pro forma as adjusted net tangible book value per share of our common stock immediately after this offering would be $   per share, and the dilution in pro forma net tangible book value per share to new investors in this offering would be $   per share.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presents, on a pro forma as adjusted basis as of December 31, 2023,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common stock, and the average price per share paid or to be paid to us at an assumed initial public offering price of $   per share, which is the midpoint of the estimated offering price range set forth on the cover page of this prospectus, before deducting estimated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7"/>
        <w:gridCol w:w="207"/>
        <w:gridCol w:w="78"/>
        <w:gridCol w:w="972"/>
        <w:gridCol w:w="78"/>
        <w:gridCol w:w="239"/>
        <w:gridCol w:w="108"/>
        <w:gridCol w:w="693"/>
        <w:gridCol w:w="282"/>
        <w:gridCol w:w="152"/>
        <w:gridCol w:w="178"/>
        <w:gridCol w:w="1122"/>
        <w:gridCol w:w="76"/>
        <w:gridCol w:w="235"/>
        <w:gridCol w:w="108"/>
        <w:gridCol w:w="693"/>
        <w:gridCol w:w="282"/>
        <w:gridCol w:w="152"/>
        <w:gridCol w:w="95"/>
        <w:gridCol w:w="1401"/>
        <w:gridCol w:w="67"/>
      </w:tblGrid>
      <w:tr>
        <w:trPr/>
        <w:tc>
          <w:tcPr>
            <w:tcW w:w="29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98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8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4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82" w:type="dxa"/>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9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 Price</w:t>
              <w:br/>
              <w:t>per Share</w:t>
            </w:r>
          </w:p>
        </w:tc>
        <w:tc>
          <w:tcPr>
            <w:tcW w:w="67" w:type="dxa"/>
            <w:vMerge w:val="restart"/>
            <w:tcBorders/>
            <w:vAlign w:val="bottom"/>
          </w:tcPr>
          <w:p>
            <w:pPr>
              <w:pStyle w:val="TableContents"/>
              <w:bidi w:val="0"/>
              <w:spacing w:before="0" w:after="283"/>
              <w:jc w:val="left"/>
              <w:rPr/>
            </w:pPr>
            <w:r>
              <w:rPr/>
              <w:t> </w:t>
            </w:r>
          </w:p>
        </w:tc>
      </w:tr>
      <w:tr>
        <w:trPr/>
        <w:tc>
          <w:tcPr>
            <w:tcW w:w="298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8"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7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2" w:type="dxa"/>
            <w:tcBorders/>
            <w:vAlign w:val="bottom"/>
          </w:tcPr>
          <w:p>
            <w:pPr>
              <w:pStyle w:val="TableContents"/>
              <w:bidi w:val="0"/>
              <w:spacing w:before="0" w:after="283"/>
              <w:jc w:val="left"/>
              <w:rPr/>
            </w:pPr>
            <w:r>
              <w:rPr/>
              <w:t> </w:t>
            </w:r>
          </w:p>
        </w:tc>
        <w:tc>
          <w:tcPr>
            <w:tcW w:w="152" w:type="dxa"/>
            <w:vMerge w:val="continue"/>
            <w:tcBorders/>
            <w:vAlign w:val="bottom"/>
          </w:tcPr>
          <w:p>
            <w:pPr>
              <w:pStyle w:val="Normal"/>
              <w:bidi w:val="0"/>
              <w:jc w:val="left"/>
              <w:rPr/>
            </w:pPr>
            <w:r>
              <w:rPr/>
            </w:r>
          </w:p>
        </w:tc>
        <w:tc>
          <w:tcPr>
            <w:tcW w:w="1496" w:type="dxa"/>
            <w:gridSpan w:val="2"/>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c>
          <w:tcPr>
            <w:tcW w:w="298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944" w:type="dxa"/>
            <w:gridSpan w:val="18"/>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(dollars in thousands)</w:t>
            </w:r>
          </w:p>
        </w:tc>
        <w:tc>
          <w:tcPr>
            <w:tcW w:w="67" w:type="dxa"/>
            <w:tcBorders/>
            <w:vAlign w:val="bottom"/>
          </w:tcPr>
          <w:p>
            <w:pPr>
              <w:pStyle w:val="TableContents"/>
              <w:bidi w:val="0"/>
              <w:spacing w:before="0" w:after="283"/>
              <w:jc w:val="left"/>
              <w:rPr/>
            </w:pPr>
            <w:r>
              <w:rPr/>
              <w:t> </w:t>
            </w:r>
          </w:p>
        </w:tc>
      </w:tr>
      <w:tr>
        <w:trPr/>
        <w:tc>
          <w:tcPr>
            <w:tcW w:w="29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987" w:type="dxa"/>
            <w:tcBorders/>
          </w:tcPr>
          <w:p>
            <w:pPr>
              <w:pStyle w:val="TableContents"/>
              <w:bidi w:val="0"/>
              <w:spacing w:before="0" w:after="0"/>
              <w:jc w:val="left"/>
              <w:rPr>
                <w:rFonts w:ascii="Times New Roman" w:hAnsi="Times New Roman"/>
                <w:sz w:val="20"/>
              </w:rPr>
            </w:pPr>
            <w:r>
              <w:rPr>
                <w:rFonts w:ascii="Times New Roman" w:hAnsi="Times New Roman"/>
                <w:sz w:val="20"/>
              </w:rPr>
              <w:t>Investors purchasing shares of our common stock in this offering</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69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87"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9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both"/>
              <w:rPr/>
            </w:pPr>
            <w:r>
              <w:rPr/>
              <w:t>   </w:t>
            </w:r>
          </w:p>
        </w:tc>
        <w:tc>
          <w:tcPr>
            <w:tcW w:w="78"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100</w:t>
            </w:r>
          </w:p>
        </w:tc>
        <w:tc>
          <w:tcPr>
            <w:tcW w:w="28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987"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72" w:type="dxa"/>
            <w:tcBorders/>
            <w:vAlign w:val="bottom"/>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$1.00 increase or decrease in the assumed initial public offering price of $    per share, which is the midpoint of the estimated offering price range set forth on the cover page of this prospectus, would increase or decrease, as applicable, the total consideration paid by new investors and total consideration paid by all stockholders by approximately $   million, assuming that the number of shares of common stock offered by us, as set forth on the cover page of this prospectus, remains the same and after deducting estimated underwriting discounts and commissions and estimated offering expenses payable by us. In addition, to the extent any outstanding options to purchase common stock are exercised, new investors will experience further dilution.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above discussion and tables assume no exercise of the underwriters option to purchase additional shares of common stock. If the underwriters exercise their option to purchase additional shares of common stock in full from us, our existing stockholders will own   % and our new investors would own   % of the total number of shares of our common stock outstanding upon the completion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our common stock that will be outstanding after this offering is based on     shares of our common stock outstanding as of December 31,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10,058,536 shares of our common stock issuable upon the exercise of options to purchase shares of our common stock that were outstanding as of December 31, 2023, with a weighted-average exercise price of $0.84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5,761,737 shares of our common stock that are issuable in connection with the settlement of RSUs upon satisfaction of both a time condition and a liquidity event condition, for which the time condition has not yet been satisfied as of December 31, 2023 (the time condition for certain of these RSUs was satisfied as of February 15, 2024, which we expect will result in the net issuance of     shares of our common stock in connection with this offering, after withholding an aggregate of     shares of common stock to satisfy associated estimated income tax obligations (based on an assumed initial public offering price of $    per share, which is the midpoint of the price range set forth on the cover page of this prospectus, and an assumed     % tax withholding rate)), that were granted prior to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7,534,358 shares of our common stock that are issuable in connection with the settlement of RSUs upon satisfaction of both a time condition and a liquidity event condition, for which the time condition has not yet been satisfied as of December 31, 2023 and that were granted after December 31,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2,442,360 shares of our common stock issuable upon the exercise of warrants to purchase shares of our common stock outstanding as of December 31, 2023, with a weighted-average exercise price of $19.30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1,888,466 shares of our common stock reserved for future issuance pursuant to our 2018 Plan, which shares will be added to the shares of our common stock reserved for future issuance under our 2024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t>   </w:t>
            </w:r>
            <w:r>
              <w:rPr>
                <w:rFonts w:ascii="Times New Roman" w:hAnsi="Times New Roman"/>
                <w:sz w:val="20"/>
              </w:rPr>
              <w:t xml:space="preserve">shares of our common stock reserved for future issuance under our ESPP.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of our 2024 Plan and our ESPP provide for annual automatic increases in the number of shares of our common stock reserved thereunder, and our 2024 Plan provides for increases to the number of shares of our common stock that may be granted thereunder based on shares underlying any awards under our 2018 Plan that expire, are forfeited or are otherwise terminated, as more fully described in the section titled Executive CompensationEmployee Benefit and Equity Compensation Plans. </w:t>
      </w:r>
    </w:p>
    <w:p>
      <w:pPr>
        <w:pStyle w:val="TextBody"/>
        <w:bidi w:val="0"/>
        <w:spacing w:before="240" w:after="0"/>
        <w:jc w:val="both"/>
        <w:rPr>
          <w:rFonts w:ascii="Times New Roman" w:hAnsi="Times New Roman"/>
          <w:sz w:val="20"/>
        </w:rPr>
      </w:pPr>
      <w:r>
        <w:rPr>
          <w:rFonts w:ascii="Times New Roman" w:hAnsi="Times New Roman"/>
          <w:sz w:val="20"/>
        </w:rPr>
        <w:t xml:space="preserve">To the extent that any outstanding options or warrants to purchase our common stock are exercised, outstanding RSUs vest or new awards are granted under our equity compensation plans, or we issue any securities or convertible debt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rom285484_9"/>
      <w:bookmarkEnd w:id="11"/>
      <w:r>
        <w:rPr>
          <w:rFonts w:ascii="Times New Roman" w:hAnsi="Times New Roman"/>
          <w:b/>
          <w:sz w:val="20"/>
        </w:rPr>
        <w:t xml:space="preserve">MANAGEMENTS DISCUSSION AND ANALYSIS OF 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in these forward-looking statements. Factors that could cause or contribute to such differences include, but are not limited to, those identified below and those discussed in the section titled Risk Factors and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Our mission is to innovate, design, and deliver semiconductor-based connectivity solutions that are purpose-built to unleash the full potential of cloud and AI infrastructure. </w:t>
      </w:r>
    </w:p>
    <w:p>
      <w:pPr>
        <w:pStyle w:val="TextBody"/>
        <w:bidi w:val="0"/>
        <w:spacing w:before="240" w:after="0"/>
        <w:jc w:val="both"/>
        <w:rPr>
          <w:rFonts w:ascii="Times New Roman" w:hAnsi="Times New Roman"/>
          <w:sz w:val="20"/>
        </w:rPr>
      </w:pPr>
      <w:r>
        <w:rPr>
          <w:rFonts w:ascii="Times New Roman" w:hAnsi="Times New Roman"/>
          <w:sz w:val="20"/>
        </w:rPr>
        <w:t xml:space="preserve">Building on years of experience with a singular focus on addressing connectivity challenges in data-centric systems, we have developed and deployed our leading Intelligent Connectivity Platform built from the ground up for cloud and AI infrastructure. Our Intelligent Connectivity Platform comprises: </w:t>
      </w:r>
    </w:p>
    <w:p>
      <w:pPr>
        <w:pStyle w:val="TextBody"/>
        <w:bidi w:val="0"/>
        <w:spacing w:before="240" w:after="0"/>
        <w:jc w:val="both"/>
        <w:rPr>
          <w:rFonts w:ascii="Times New Roman" w:hAnsi="Times New Roman"/>
          <w:sz w:val="20"/>
        </w:rPr>
      </w:pPr>
      <w:r>
        <w:rPr>
          <w:rFonts w:ascii="Times New Roman" w:hAnsi="Times New Roman"/>
          <w:sz w:val="20"/>
        </w:rPr>
        <w:t xml:space="preserve">i) Semiconductor-based, high-speed, mixed-signal connectivity products that integrate a matrix of microcontrollers and sensors; and </w:t>
      </w:r>
    </w:p>
    <w:p>
      <w:pPr>
        <w:pStyle w:val="TextBody"/>
        <w:bidi w:val="0"/>
        <w:spacing w:before="240" w:after="0"/>
        <w:jc w:val="both"/>
        <w:rPr>
          <w:rFonts w:ascii="Times New Roman" w:hAnsi="Times New Roman"/>
          <w:sz w:val="20"/>
        </w:rPr>
      </w:pPr>
      <w:r>
        <w:rPr>
          <w:rFonts w:ascii="Times New Roman" w:hAnsi="Times New Roman"/>
          <w:sz w:val="20"/>
        </w:rPr>
        <w:t xml:space="preserve">ii) COSMOS, our software suite, which is embedded in our connectivity products and integrated into our customers systems. </w:t>
      </w:r>
    </w:p>
    <w:p>
      <w:pPr>
        <w:pStyle w:val="TextBody"/>
        <w:bidi w:val="0"/>
        <w:spacing w:before="240" w:after="0"/>
        <w:jc w:val="both"/>
        <w:rPr>
          <w:rFonts w:ascii="Times New Roman" w:hAnsi="Times New Roman"/>
          <w:sz w:val="20"/>
        </w:rPr>
      </w:pPr>
      <w:r>
        <w:rPr>
          <w:rFonts w:ascii="Times New Roman" w:hAnsi="Times New Roman"/>
          <w:sz w:val="20"/>
        </w:rPr>
        <w:t xml:space="preserve">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ICs, boards, and modules. </w:t>
      </w:r>
    </w:p>
    <w:p>
      <w:pPr>
        <w:pStyle w:val="TextBody"/>
        <w:bidi w:val="0"/>
        <w:spacing w:before="240" w:after="0"/>
        <w:jc w:val="both"/>
        <w:rPr>
          <w:rFonts w:ascii="Times New Roman" w:hAnsi="Times New Roman"/>
          <w:sz w:val="20"/>
        </w:rPr>
      </w:pPr>
      <w:r>
        <w:rPr>
          <w:rFonts w:ascii="Times New Roman" w:hAnsi="Times New Roman"/>
          <w:sz w:val="20"/>
        </w:rPr>
        <w:t xml:space="preserve">Our patented software-defined platform approach delivers critical connectivity performance, enables flexibility and customization, and supports observability and predictive analytics. This approach efficiently addresses the data, network, and memory bottlenecks, scalability, and other unique infrastructure requirements of our hyperscaler and system OEM customers. </w:t>
      </w:r>
    </w:p>
    <w:p>
      <w:pPr>
        <w:pStyle w:val="TextBody"/>
        <w:bidi w:val="0"/>
        <w:spacing w:before="240" w:after="0"/>
        <w:jc w:val="both"/>
        <w:rPr>
          <w:rFonts w:ascii="Times New Roman" w:hAnsi="Times New Roman"/>
          <w:sz w:val="20"/>
        </w:rPr>
      </w:pPr>
      <w:r>
        <w:rPr>
          <w:rFonts w:ascii="Times New Roman" w:hAnsi="Times New Roman"/>
          <w:sz w:val="20"/>
        </w:rPr>
        <w:t xml:space="preserve">Based on trusted relationships with the leading hyperscalers and collaboration with data center infrastructure suppliers such as NVIDIA, Advanced Micro Devices, Intel, and many others,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 </w:t>
      </w:r>
    </w:p>
    <w:p>
      <w:pPr>
        <w:pStyle w:val="TextBody"/>
        <w:bidi w:val="0"/>
        <w:spacing w:before="240" w:after="0"/>
        <w:jc w:val="both"/>
        <w:rPr>
          <w:rFonts w:ascii="Times New Roman" w:hAnsi="Times New Roman"/>
          <w:sz w:val="20"/>
        </w:rPr>
      </w:pPr>
      <w:r>
        <w:rPr>
          <w:rFonts w:ascii="Times New Roman" w:hAnsi="Times New Roman"/>
          <w:sz w:val="20"/>
        </w:rPr>
        <w:t xml:space="preserve">Today, our connectivity solutions are at the heart of major AI platforms deployed worldwide featuring both commercially available GPUs and proprietary AI accelerators. In the last four years, we have successfully introduced three revenue-generating product families across multiple form factors including ICs, boards, and modules, shipping millions of devices across all of the major hyperscalers. Our products, which include Aries PCIe®/CXL Smart DSP Retimers, Taurus Ethernet Smart Cable Modules, and Leo CXL Memory Connectivity Controllers, leverage our ICs which are built upon industry standard connectivity protocols such as PCIe, Ethernet, and CXL, to address the growing demand for purpose-built connectivity solutions that solve critical data, network, and memory bottlenecks inherent in cloud and AI infrastructure. </w:t>
      </w:r>
    </w:p>
    <w:p>
      <w:pPr>
        <w:pStyle w:val="TextBody"/>
        <w:bidi w:val="0"/>
        <w:spacing w:before="240" w:after="0"/>
        <w:jc w:val="both"/>
        <w:rPr>
          <w:rFonts w:ascii="Times New Roman" w:hAnsi="Times New Roman"/>
          <w:sz w:val="20"/>
        </w:rPr>
      </w:pPr>
      <w:r>
        <w:rPr>
          <w:rFonts w:ascii="Times New Roman" w:hAnsi="Times New Roman"/>
          <w:sz w:val="20"/>
        </w:rPr>
        <w:t xml:space="preserve">Since our inception, we have created and commercialized first-to-market PCIe, Ethernet, and CXL products, and with more than 300 design wins, we have become a trusted partner and a proven supplier to our hyperscaler and system OEM customers. We have experienced strong growth since our founding in October 2017, and particularly since the commercial launch of Aries in 2020. Our revenue grew from $34.8 million in 2021 and $79.9 million in 2022 to $115.8 million in 2023, driven by a significant increase in demand for our products. We have made significant investments in the design and development of new products and platform enhancements, and, as a result, we have not yet achieved profitability on an annual basis. Our gross profit was $27.5 million in 2021, $58.7 million in 2022 and $79.8 million in 2023. We incurred net losses of $15.4 million in 2021, $58.3 million in 2022 and $26.3 million in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Business Model </w:t>
      </w:r>
    </w:p>
    <w:p>
      <w:pPr>
        <w:pStyle w:val="TextBody"/>
        <w:bidi w:val="0"/>
        <w:spacing w:before="120" w:after="0"/>
        <w:jc w:val="both"/>
        <w:rPr>
          <w:rFonts w:ascii="Times New Roman" w:hAnsi="Times New Roman"/>
          <w:sz w:val="20"/>
        </w:rPr>
      </w:pPr>
      <w:r>
        <w:rPr>
          <w:rFonts w:ascii="Times New Roman" w:hAnsi="Times New Roman"/>
          <w:sz w:val="20"/>
        </w:rPr>
        <w:t xml:space="preserve">Our Intelligent Connectivity Platform provides our customers with the ability to deploy and operate high-performance cloud and AI infrastructure at scale, addressing an increasingly diverse set of requirements. Our singular focus on cloud and AI infrastructure provides us with a deep understanding of our customers needs that has enabled us to develop a portfolio of high value-added solutions that meet their exacting, complex, and diverse cloud and AI infrastructure requirements. </w:t>
      </w:r>
    </w:p>
    <w:p>
      <w:pPr>
        <w:pStyle w:val="TextBody"/>
        <w:bidi w:val="0"/>
        <w:spacing w:before="240" w:after="0"/>
        <w:jc w:val="both"/>
        <w:rPr>
          <w:rFonts w:ascii="Times New Roman" w:hAnsi="Times New Roman"/>
          <w:sz w:val="20"/>
        </w:rPr>
      </w:pPr>
      <w:r>
        <w:rPr>
          <w:rFonts w:ascii="Times New Roman" w:hAnsi="Times New Roman"/>
          <w:sz w:val="20"/>
        </w:rPr>
        <w:t xml:space="preserve">We provide a complete and differentiated platform consisting of ICs, boards, and modules coupled with our COSMOS software suite and interoperability reports that ensure ease of integration and customer adoption. Our patented software-defined IC architecture utilizes multiple microcontrollers, sensors, and embedded microcode, which enables efficient product development, low latency, and seamless integration with our customers systems. </w:t>
      </w:r>
    </w:p>
    <w:p>
      <w:pPr>
        <w:pStyle w:val="TextBody"/>
        <w:bidi w:val="0"/>
        <w:spacing w:before="240" w:after="0"/>
        <w:jc w:val="both"/>
        <w:rPr>
          <w:rFonts w:ascii="Times New Roman" w:hAnsi="Times New Roman"/>
          <w:sz w:val="20"/>
        </w:rPr>
      </w:pPr>
      <w:r>
        <w:rPr>
          <w:rFonts w:ascii="Times New Roman" w:hAnsi="Times New Roman"/>
          <w:sz w:val="20"/>
        </w:rPr>
        <w:t xml:space="preserve">In the last four years, we have successfully introduced three revenue-generating product families across multiple form factors including ICs, boards, and modules that are built upon our software-defined architecture: </w:t>
      </w:r>
    </w:p>
    <w:p>
      <w:pPr>
        <w:pStyle w:val="TextBody"/>
        <w:bidi w:val="0"/>
        <w:spacing w:before="120" w:after="0"/>
        <w:jc w:val="both"/>
        <w:rPr>
          <w:rFonts w:ascii="Times New Roman" w:hAnsi="Times New Roman"/>
          <w:sz w:val="20"/>
        </w:rPr>
      </w:pPr>
      <w:r>
        <w:rPr>
          <w:rFonts w:ascii="Times New Roman" w:hAnsi="Times New Roman"/>
          <w:b/>
          <w:i/>
          <w:sz w:val="20"/>
        </w:rPr>
        <w:t>Aries PCIe®/CXL</w:t>
      </w:r>
      <w:r>
        <w:rPr>
          <w:rFonts w:ascii="Times New Roman" w:hAnsi="Times New Roman"/>
          <w:sz w:val="20"/>
        </w:rPr>
        <w:t xml:space="preserve"> </w:t>
      </w:r>
      <w:r>
        <w:rPr>
          <w:rFonts w:ascii="Times New Roman" w:hAnsi="Times New Roman"/>
          <w:b/>
          <w:i/>
          <w:sz w:val="20"/>
        </w:rPr>
        <w:t xml:space="preserve">Smart DSP Retimers. </w:t>
      </w:r>
      <w:r>
        <w:rPr>
          <w:rFonts w:ascii="Times New Roman" w:hAnsi="Times New Roman"/>
          <w:sz w:val="20"/>
        </w:rPr>
        <w:t xml:space="preserve">Our Aries products, which include our COSMOS software suite, are essential to enable higher PCIe/CXL data bandwidth and lower latency interconnectivity between various heterogeneous compute processors, storage, and network controllers. Aries digitally recovers degraded high-speed signals and retransmits a clean copy of the data, thereby extending the reach of existing cost-effective interconnects, while enabling higher data bandwidth. </w:t>
      </w:r>
    </w:p>
    <w:p>
      <w:pPr>
        <w:pStyle w:val="TextBody"/>
        <w:bidi w:val="0"/>
        <w:spacing w:before="120" w:after="0"/>
        <w:jc w:val="both"/>
        <w:rPr>
          <w:rFonts w:ascii="Times New Roman" w:hAnsi="Times New Roman"/>
          <w:sz w:val="20"/>
        </w:rPr>
      </w:pPr>
      <w:r>
        <w:rPr>
          <w:rFonts w:ascii="Times New Roman" w:hAnsi="Times New Roman"/>
          <w:b/>
          <w:i/>
          <w:sz w:val="20"/>
        </w:rPr>
        <w:t xml:space="preserve">Taurus Ethernet Smart Cable Modules. </w:t>
      </w:r>
      <w:r>
        <w:rPr>
          <w:rFonts w:ascii="Times New Roman" w:hAnsi="Times New Roman"/>
          <w:sz w:val="20"/>
        </w:rPr>
        <w:t xml:space="preserve">Our Taurus products are hardware modules based on our Taurus ICs that increase network connectivity bandwidth between servers and switches over copper media. Taurus modules incorporate our COSMOS software suite and extend Ethernet signaling reach at higher data rates, providing cost-effective, rack-level network connectivity for cloud and AI infrastructure, removing rack-level Ethernet connectivity bottlenecks. </w:t>
      </w:r>
    </w:p>
    <w:p>
      <w:pPr>
        <w:pStyle w:val="TextBody"/>
        <w:bidi w:val="0"/>
        <w:spacing w:before="120" w:after="0"/>
        <w:jc w:val="both"/>
        <w:rPr>
          <w:rFonts w:ascii="Times New Roman" w:hAnsi="Times New Roman"/>
          <w:sz w:val="20"/>
        </w:rPr>
      </w:pPr>
      <w:r>
        <w:rPr>
          <w:rFonts w:ascii="Times New Roman" w:hAnsi="Times New Roman"/>
          <w:b/>
          <w:i/>
          <w:sz w:val="20"/>
        </w:rPr>
        <w:t xml:space="preserve">Leo CXL Memory Connectivity Controllers. </w:t>
      </w:r>
      <w:r>
        <w:rPr>
          <w:rFonts w:ascii="Times New Roman" w:hAnsi="Times New Roman"/>
          <w:sz w:val="20"/>
        </w:rPr>
        <w:t xml:space="preserve">Our Leo products allow our customers to overcome processor memory bandwidth bottlenecks and capacity limitations, while leveraging our COSMOS software suites built-in memory management and deep diagnostic capabilities. Leo ICs and boards enable expanding, sharing, and pooling of industry standard DRAM memory over high-speed serial links to support memory-intensive workloads running on AI accelerators and CPUs. </w:t>
      </w:r>
    </w:p>
    <w:p>
      <w:pPr>
        <w:pStyle w:val="TextBody"/>
        <w:bidi w:val="0"/>
        <w:spacing w:before="240" w:after="0"/>
        <w:jc w:val="both"/>
        <w:rPr>
          <w:rFonts w:ascii="Times New Roman" w:hAnsi="Times New Roman"/>
          <w:sz w:val="20"/>
        </w:rPr>
      </w:pPr>
      <w:r>
        <w:rPr>
          <w:rFonts w:ascii="Times New Roman" w:hAnsi="Times New Roman"/>
          <w:sz w:val="20"/>
        </w:rPr>
        <w:t xml:space="preserve">We invest significant time and resources in engaging with our hyperscaler and system OEM customers, as well as data center infrastructure suppliers to develop products to meet our customers specific cloud platform requirements. Through our customer PSSP model, which includes software and hardware customizations, our products meet our hyperscaler customers specific platform, fleet management, and RAS requirements. Our products feature a powerful array of extensive diagnostics, sophisticated link management, and link telemetry features, which are powered by our COnnectivity System Management and Optimization Software, or COSMOS software suite, enabling our customers to optimize the utilization of their infrastructure, improve their total cost of ownership, and increase their infrastructure resilience through predictive analytics. </w:t>
      </w:r>
    </w:p>
    <w:p>
      <w:pPr>
        <w:pStyle w:val="TextBody"/>
        <w:bidi w:val="0"/>
        <w:spacing w:before="240" w:after="0"/>
        <w:jc w:val="both"/>
        <w:rPr>
          <w:rFonts w:ascii="Times New Roman" w:hAnsi="Times New Roman"/>
          <w:sz w:val="20"/>
        </w:rPr>
      </w:pPr>
      <w:r>
        <w:rPr>
          <w:rFonts w:ascii="Times New Roman" w:hAnsi="Times New Roman"/>
          <w:sz w:val="20"/>
        </w:rPr>
        <w:t xml:space="preserve">We price our products based on their features and capabilities and the value that they provide to our customers. The value that we provide to our customers has increased with successive generations of our product families. To date, the sale of our Aries products has generated the majority of our revenue. Over time, we expect our Taurus and Leo product families to contribute an increasing proportion of our revenue. We expect that the growth of Taurus will be driven by increasing AI server deployment and increasing network connectivity requirements over time. We target adoption of Leo in the fast-moving, large CXL market, which is driven by the increasing adoption of cloud computing. </w:t>
      </w:r>
    </w:p>
    <w:p>
      <w:pPr>
        <w:pStyle w:val="TextBody"/>
        <w:bidi w:val="0"/>
        <w:spacing w:before="240" w:after="0"/>
        <w:jc w:val="both"/>
        <w:rPr>
          <w:rFonts w:ascii="Times New Roman" w:hAnsi="Times New Roman"/>
          <w:sz w:val="20"/>
        </w:rPr>
      </w:pPr>
      <w:r>
        <w:rPr>
          <w:rFonts w:ascii="Times New Roman" w:hAnsi="Times New Roman"/>
          <w:sz w:val="20"/>
        </w:rPr>
        <w:t xml:space="preserve">We have built and deployed our industry-trusted cloud scale Interop Lab and developed comprehensive interoperability test suites.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were born in the cloud, with our research and development located in the public cloud. This significantly improves the speed of our product design and time-to-market through faster and higher quality tapeouts, and reduces our capital requirements. We also partner with EDA tool providers to run physical design and development flows at cloud scale  thousands of regressions in parallel  allowing for significantly more design iterations and much faster refinements, resulting in faster and higher quality tapeouts. </w:t>
      </w:r>
    </w:p>
    <w:p>
      <w:pPr>
        <w:pStyle w:val="TextBody"/>
        <w:bidi w:val="0"/>
        <w:spacing w:before="240" w:after="0"/>
        <w:jc w:val="both"/>
        <w:rPr>
          <w:rFonts w:ascii="Times New Roman" w:hAnsi="Times New Roman"/>
          <w:sz w:val="20"/>
        </w:rPr>
      </w:pPr>
      <w:r>
        <w:rPr>
          <w:rFonts w:ascii="Times New Roman" w:hAnsi="Times New Roman"/>
          <w:sz w:val="20"/>
        </w:rPr>
        <w:t xml:space="preserve">We use third parties to manufacture our products which include ICs, boards, and modules. The manufacturing process is subject to extensive testing and verification. We use a fabless manufacturing model and partner with TSMC to fabricate all of our ICs. We use Advanced Semiconductor Engineering and Amkor Technologies to assemble, package, and test our ICs. We also rely on a number of other manufacturing partners for our IC substrates, boards, and modules. Importantly, we have built a robust supply chain to meet the exacting demand profile of our hyperscaler and system OEM customers, enabling us to ship millions of units with competitive lead times.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bidi w:val="0"/>
        <w:spacing w:before="120" w:after="0"/>
        <w:jc w:val="both"/>
        <w:rPr>
          <w:rFonts w:ascii="Times New Roman" w:hAnsi="Times New Roman"/>
          <w:sz w:val="20"/>
        </w:rPr>
      </w:pPr>
      <w:r>
        <w:rPr>
          <w:rFonts w:ascii="Times New Roman" w:hAnsi="Times New Roman"/>
          <w:sz w:val="20"/>
        </w:rPr>
        <w:t xml:space="preserve">We believe there are several important factors that have affected and that we expect to continue to affect our results of operations: </w:t>
      </w:r>
    </w:p>
    <w:p>
      <w:pPr>
        <w:pStyle w:val="TextBody"/>
        <w:bidi w:val="0"/>
        <w:spacing w:before="120" w:after="0"/>
        <w:jc w:val="both"/>
        <w:rPr>
          <w:rFonts w:ascii="Times New Roman" w:hAnsi="Times New Roman"/>
          <w:sz w:val="20"/>
        </w:rPr>
      </w:pPr>
      <w:r>
        <w:rPr>
          <w:rFonts w:ascii="Times New Roman" w:hAnsi="Times New Roman"/>
          <w:b/>
          <w:i/>
          <w:sz w:val="20"/>
        </w:rPr>
        <w:t xml:space="preserve">Global demand for accelerated computing and cloud infrastructure. </w:t>
      </w:r>
      <w:r>
        <w:rPr>
          <w:rFonts w:ascii="Times New Roman" w:hAnsi="Times New Roman"/>
          <w:sz w:val="20"/>
        </w:rPr>
        <w:t xml:space="preserve">Accelerated computing is being increasingly deployed through cloud infrastructure, and a significant amount of our product sales is for cloud infrastructure. Our financial performance is heavily influenced by the pace and level of deployment of current and next generation technologies that enable cloud computing. As a result, global demand for cloud computing has a broad impact on our growth. We expect to continue to capitalize on our strong and collaborative relationships with our customers to expand our presence in their cloud platforms and capture the long-term growth opportunity in cloud infrastructure. </w:t>
      </w:r>
    </w:p>
    <w:p>
      <w:pPr>
        <w:pStyle w:val="TextBody"/>
        <w:bidi w:val="0"/>
        <w:spacing w:before="120" w:after="0"/>
        <w:jc w:val="both"/>
        <w:rPr>
          <w:rFonts w:ascii="Times New Roman" w:hAnsi="Times New Roman"/>
          <w:sz w:val="20"/>
        </w:rPr>
      </w:pPr>
      <w:r>
        <w:rPr>
          <w:rFonts w:ascii="Times New Roman" w:hAnsi="Times New Roman"/>
          <w:b/>
          <w:i/>
          <w:sz w:val="20"/>
        </w:rPr>
        <w:t xml:space="preserve">AI adoption and development of increasingly complex models. </w:t>
      </w:r>
      <w:r>
        <w:rPr>
          <w:rFonts w:ascii="Times New Roman" w:hAnsi="Times New Roman"/>
          <w:sz w:val="20"/>
        </w:rPr>
        <w:t xml:space="preserve">We expect to benefit from the growth of the nascent AI industry, which is driving increasing demand for accelerated computing. Recent AI advances, as demonstrated by the launch of ChatGPT by OpenAI in late 2022 and other models, have shown the unprecedented capabilities of GenAI. Given its massive need for computing power, GenAI is only practical at cloud scale, which our products are purpose-built to address. Our Intelligent Connectivity Platform enables and enhances cloud and AI workloads for our customers and their users. </w:t>
      </w:r>
    </w:p>
    <w:p>
      <w:pPr>
        <w:pStyle w:val="TextBody"/>
        <w:bidi w:val="0"/>
        <w:spacing w:before="120" w:after="0"/>
        <w:jc w:val="both"/>
        <w:rPr>
          <w:rFonts w:ascii="Times New Roman" w:hAnsi="Times New Roman"/>
          <w:sz w:val="20"/>
        </w:rPr>
      </w:pPr>
      <w:r>
        <w:rPr>
          <w:rFonts w:ascii="Times New Roman" w:hAnsi="Times New Roman"/>
          <w:sz w:val="20"/>
        </w:rPr>
        <w:t xml:space="preserve">However, AI adoption and usage is still in the early stages. Our financial performance and growth will be driven, in large part, by the demand for AI workloads. As a result, demand for AI technologies will heavily influence our financial performance. We believe that our leadership position in connectivity for AI infrastructure positions us to successfully compete in the market for data, network, and memory connectivity products. </w:t>
      </w:r>
    </w:p>
    <w:p>
      <w:pPr>
        <w:pStyle w:val="TextBody"/>
        <w:bidi w:val="0"/>
        <w:spacing w:before="120" w:after="0"/>
        <w:jc w:val="both"/>
        <w:rPr>
          <w:rFonts w:ascii="Times New Roman" w:hAnsi="Times New Roman"/>
          <w:sz w:val="20"/>
        </w:rPr>
      </w:pPr>
      <w:r>
        <w:rPr>
          <w:rFonts w:ascii="Times New Roman" w:hAnsi="Times New Roman"/>
          <w:b/>
          <w:i/>
          <w:sz w:val="20"/>
        </w:rPr>
        <w:t xml:space="preserve">Introduction of new ecosystem technologies, products, and connectivity standards drives demand for our solutions. </w:t>
      </w:r>
      <w:r>
        <w:rPr>
          <w:rFonts w:ascii="Times New Roman" w:hAnsi="Times New Roman"/>
          <w:sz w:val="20"/>
        </w:rPr>
        <w:t xml:space="preserve">We benefit from the refresh cycles in the data center infrastructure ecosystem, including new releases of GPUs, other AI accelerators, CPUs, storage devices, and networking subsystems, and the adoption of new connectivity standards such as PCIe, Ethernet, and CXL. These advancements generally bring enhanced or new capabilities such as higher computing performance, driving demand for our products. </w:t>
      </w:r>
    </w:p>
    <w:p>
      <w:pPr>
        <w:pStyle w:val="TextBody"/>
        <w:bidi w:val="0"/>
        <w:spacing w:before="120" w:after="0"/>
        <w:jc w:val="both"/>
        <w:rPr>
          <w:rFonts w:ascii="Times New Roman" w:hAnsi="Times New Roman"/>
          <w:sz w:val="20"/>
        </w:rPr>
      </w:pPr>
      <w:r>
        <w:rPr>
          <w:rFonts w:ascii="Times New Roman" w:hAnsi="Times New Roman"/>
          <w:sz w:val="20"/>
        </w:rPr>
        <w:t xml:space="preserve">New releases of ecosystem technologies and standard connectivity protocols impact architecture choices made by hyperscalers and system OEMs. The chosen system topology determines whether our products will be required. New computing products and standards adopted by hyperscalers and system OEMs typically call for high performance architectures, thereby generating more demand for our products. Nevertheless, the state of readiness within the broader data center infrastructure ecosystem may impact the demand for our products, which could be limited if certain ecosystem products do not readily support the new standard connectivity protocols.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market-leading technology, which is foundational to our Intelligent Connectivity Platform, will allow us to win new and incremental high-volume designs based on our products for cloud and 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infrastructure. We anticipate synergistic benefits for revenue generation across our existing and future product families. </w:t>
      </w:r>
    </w:p>
    <w:p>
      <w:pPr>
        <w:pStyle w:val="TextBody"/>
        <w:bidi w:val="0"/>
        <w:spacing w:before="120" w:after="0"/>
        <w:jc w:val="both"/>
        <w:rPr>
          <w:rFonts w:ascii="Times New Roman" w:hAnsi="Times New Roman"/>
          <w:sz w:val="20"/>
        </w:rPr>
      </w:pPr>
      <w:r>
        <w:rPr>
          <w:rFonts w:ascii="Times New Roman" w:hAnsi="Times New Roman"/>
          <w:b/>
          <w:i/>
          <w:sz w:val="20"/>
        </w:rPr>
        <w:t xml:space="preserve">Design wins with new and existing customers. </w:t>
      </w:r>
      <w:r>
        <w:rPr>
          <w:rFonts w:ascii="Times New Roman" w:hAnsi="Times New Roman"/>
          <w:sz w:val="20"/>
        </w:rPr>
        <w:t xml:space="preserve">We work closely with our customers to develop intelligent connectivity products to meet their specific requirements and have secured more than 300 design wins since our founding. We count a design win as occurring when a customer validates and places an order for our products. We consider design wins important to our future success. Our development process is typically lengthy and may require us to incur significant expenditures in pursuit of a design win with no assurance that our products will be selected. Importantly, to achieve design wins, we must deliver differentiated products and maintain our technological leadership through significant investment in 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In addition, some design wins result in significant revenue and some do not. The timing of such revenue is difficult to predict as it depends on capital expenditure by our customers. Our customers capital expenditure levels are often not fully known when we are developing products. Some design wins result in orders and significant revenue shortly after the design win while others do not result in significant orders and revenue for many months or longer after the initial design win. As a result, the degree to which we are successful in achieving design wins, and the speed and level at which customers purchase equipment into which our products are designed, impacts our success and financial results. Our customer PSSP approach, which enables symbiotic customer relationships, provides us with differentiated and significant visibility into customer requirements and new content opportunities that strongly positions us for future design wins. </w:t>
      </w:r>
    </w:p>
    <w:p>
      <w:pPr>
        <w:pStyle w:val="TextBody"/>
        <w:bidi w:val="0"/>
        <w:spacing w:before="120" w:after="0"/>
        <w:jc w:val="both"/>
        <w:rPr>
          <w:rFonts w:ascii="Times New Roman" w:hAnsi="Times New Roman"/>
          <w:sz w:val="20"/>
        </w:rPr>
      </w:pPr>
      <w:r>
        <w:rPr>
          <w:rFonts w:ascii="Times New Roman" w:hAnsi="Times New Roman"/>
          <w:b/>
          <w:i/>
          <w:sz w:val="20"/>
        </w:rPr>
        <w:t xml:space="preserve">Product mix, pricing, and product costs. </w:t>
      </w:r>
      <w:r>
        <w:rPr>
          <w:rFonts w:ascii="Times New Roman" w:hAnsi="Times New Roman"/>
          <w:sz w:val="20"/>
        </w:rPr>
        <w:t xml:space="preserve">Our product mix plays an important role in our financial performance, as our prices and margins vary across our products. The pricing of our products is based on their features and capabilities, their form factors, and the value that they provide to our customers. The value we provide to our customers through additional capabilities has increased with successive generations of our product families. </w:t>
      </w:r>
    </w:p>
    <w:p>
      <w:pPr>
        <w:pStyle w:val="TextBody"/>
        <w:bidi w:val="0"/>
        <w:spacing w:before="120" w:after="0"/>
        <w:jc w:val="both"/>
        <w:rPr>
          <w:rFonts w:ascii="Times New Roman" w:hAnsi="Times New Roman"/>
          <w:sz w:val="20"/>
        </w:rPr>
      </w:pPr>
      <w:r>
        <w:rPr>
          <w:rFonts w:ascii="Times New Roman" w:hAnsi="Times New Roman"/>
          <w:sz w:val="20"/>
        </w:rPr>
        <w:t xml:space="preserve">As a particular product matures and unit volumes increase, we expect its pricing to decline, because there are generally step-downs in pricing as production volumes ramp up. While individual product selling prices may decline, we seek to offer new features and functionality to increase the value of our products through generational upgrades. We believe our differentiated products enable us to maintain or increase pricing over time. </w:t>
      </w:r>
    </w:p>
    <w:p>
      <w:pPr>
        <w:pStyle w:val="TextBody"/>
        <w:bidi w:val="0"/>
        <w:spacing w:before="120" w:after="0"/>
        <w:jc w:val="both"/>
        <w:rPr>
          <w:rFonts w:ascii="Times New Roman" w:hAnsi="Times New Roman"/>
          <w:sz w:val="20"/>
        </w:rPr>
      </w:pPr>
      <w:r>
        <w:rPr>
          <w:rFonts w:ascii="Times New Roman" w:hAnsi="Times New Roman"/>
          <w:sz w:val="20"/>
        </w:rPr>
        <w:t xml:space="preserve">Our products have different margin profiles, which are mainly dependent on their form factor. Our ICs carry a higher margin profile than our boards or modules. For example, our gross margins typically decrease on a percentage basis when we incorporate greater third-party hardware content, but our revenue and gross profit per unit increase on a dollar basis. As we design and sell higher-end products, and release generational upgrades to existing products, we expect that our revenue and gross profit per unit will continue to increase with the improved features and capabilities of our products. </w:t>
      </w:r>
    </w:p>
    <w:p>
      <w:pPr>
        <w:pStyle w:val="TextBody"/>
        <w:bidi w:val="0"/>
        <w:spacing w:before="120" w:after="0"/>
        <w:jc w:val="both"/>
        <w:rPr>
          <w:rFonts w:ascii="Times New Roman" w:hAnsi="Times New Roman"/>
          <w:sz w:val="20"/>
        </w:rPr>
      </w:pPr>
      <w:r>
        <w:rPr>
          <w:rFonts w:ascii="Times New Roman" w:hAnsi="Times New Roman"/>
          <w:b/>
          <w:i/>
          <w:sz w:val="20"/>
        </w:rPr>
        <w:t xml:space="preserve">Investment in technology leadership and product development. </w:t>
      </w:r>
      <w:r>
        <w:rPr>
          <w:rFonts w:ascii="Times New Roman" w:hAnsi="Times New Roman"/>
          <w:sz w:val="20"/>
        </w:rPr>
        <w:t xml:space="preserve">We believe our ability to continue to develop and design highly advanced intelligent connectivity products plays a large role in our ability to extend our technology leadership and enable our customers to unleash the full potential of cloud and AI infrastructure. We operate in an industry characterized by changing technologies and connectivity protocols. We work closely with our customers to develop products alongside their product roadmaps and to identify next generation solutions to meet their future needs. </w:t>
      </w:r>
    </w:p>
    <w:p>
      <w:pPr>
        <w:pStyle w:val="TextBody"/>
        <w:bidi w:val="0"/>
        <w:spacing w:before="120" w:after="0"/>
        <w:jc w:val="both"/>
        <w:rPr>
          <w:rFonts w:ascii="Times New Roman" w:hAnsi="Times New Roman"/>
          <w:sz w:val="20"/>
        </w:rPr>
      </w:pPr>
      <w:r>
        <w:rPr>
          <w:rFonts w:ascii="Times New Roman" w:hAnsi="Times New Roman"/>
          <w:sz w:val="20"/>
        </w:rPr>
        <w:t xml:space="preserve">Our revenue growth is dependent on our ability to continually develop and introduce new products and generational upgrades to meet the changing technology and performance requirements of our customers. Our growth also depends on our ability to build upon the success of previously introduced products. In order to remain competitive, we have made, and expect to continue to make, significant investments in research and development. Our research and development expenses in a particular period may be significantly impacted by specific product or engineering initiatives that we undertake to maintain our competitiveness and expand our product portfolio. By harnessing the scale of cloud computing and performing our research and development in the public cloud, we believe we improve quality, reduce development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accelerate speed of execution, which allows us to get to market faster than traditional semiconductor companies. While our investments in new products and generational upgrades may not result in revenue in the near term, we believe these investments will position us for revenue growth over time. </w:t>
      </w:r>
    </w:p>
    <w:p>
      <w:pPr>
        <w:pStyle w:val="TextBody"/>
        <w:bidi w:val="0"/>
        <w:spacing w:before="120" w:after="0"/>
        <w:jc w:val="both"/>
        <w:rPr>
          <w:rFonts w:ascii="Times New Roman" w:hAnsi="Times New Roman"/>
          <w:sz w:val="20"/>
        </w:rPr>
      </w:pPr>
      <w:r>
        <w:rPr>
          <w:rFonts w:ascii="Times New Roman" w:hAnsi="Times New Roman"/>
          <w:b/>
          <w:i/>
          <w:sz w:val="20"/>
        </w:rPr>
        <w:t xml:space="preserve">Supply chain, manufacturing capacity, and customer inventories. </w:t>
      </w:r>
      <w:r>
        <w:rPr>
          <w:rFonts w:ascii="Times New Roman" w:hAnsi="Times New Roman"/>
          <w:sz w:val="20"/>
        </w:rPr>
        <w:t xml:space="preserve">Our product deliveries are dependent on the global semiconductor supply chain. The continued and timely supply of input materials and the availability of manufacturing capacity and packaging and testing services impact our ability to meet customer demand. Supply chain disruptions, shortages of raw material, and manufacturing limitations could limit our ability to meet customer demand and result in delayed, reduced, or canceled orders. We have established relationships with leading suppliers and partners such as TSMC, Advanced Semiconductor Engineering, and Amkor, and we believe these relationships increase the resiliency of our supply chain for our customers. From time to time, subject to inventory disruptions, our customers may buy and hold excess inventories. Consequently, we may be subject to resulting fluctuations in the demand for our products. We maintain a disciplined approach to pricing, characterized by a balance between cost considerations, market dynamics, and customer value. </w:t>
      </w:r>
    </w:p>
    <w:p>
      <w:pPr>
        <w:pStyle w:val="TextBody"/>
        <w:bidi w:val="0"/>
        <w:spacing w:before="360" w:after="0"/>
        <w:jc w:val="left"/>
        <w:rPr>
          <w:rFonts w:ascii="Times New Roman" w:hAnsi="Times New Roman"/>
          <w:b/>
          <w:sz w:val="20"/>
        </w:rPr>
      </w:pPr>
      <w:r>
        <w:rPr>
          <w:rFonts w:ascii="Times New Roman" w:hAnsi="Times New Roman"/>
          <w:b/>
          <w:sz w:val="20"/>
        </w:rPr>
        <w:t xml:space="preserve">Key Components of Results of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The vast majority of our revenue consists of product sales and a small portion is currently derived from engineering services. Product sales consists primarily of shipments of our Intelligent Connectivity Platform solution. We sell to distributors who resell our products as well as contract manufacturers and design partners who manufacture products for our customers. Engineering services revenue consists of engineering fees associated with the development of certain custom features for some of our products. Engineering services revenue accounted for a small percentage of total revenue for the years ended December 31, 2022 and 2023. We have not provided engineering services since the second quarter of 2023. </w:t>
      </w:r>
    </w:p>
    <w:p>
      <w:pPr>
        <w:pStyle w:val="TextBody"/>
        <w:bidi w:val="0"/>
        <w:spacing w:before="240" w:after="0"/>
        <w:jc w:val="both"/>
        <w:rPr>
          <w:rFonts w:ascii="Times New Roman" w:hAnsi="Times New Roman"/>
          <w:sz w:val="20"/>
        </w:rPr>
      </w:pPr>
      <w:r>
        <w:rPr>
          <w:rFonts w:ascii="Times New Roman" w:hAnsi="Times New Roman"/>
          <w:sz w:val="20"/>
        </w:rPr>
        <w:t xml:space="preserve">For product sales, we transact with customers primarily pursuant to standard purchase orders for delivery of products and generally do not allow customers to cancel or change purchase orders within limited notice periods. We recognize product sales when control transfers to the customer, generally at the time of product shipment from our facilities or at the time when products are received by customers depending on the shipping terms with our customers, in an amount that reflects the consideration we expect to receive in exchange for those goods, net of estimated sales returns, distributor price adjustments, rebates, and other customer incentives. Revenue is also recognized net of any taxes collected, which are subsequently remitted to governmental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includes cost of product sales revenue and cost of engineering services revenue. Cost of product sales revenue includes the cost of materials, such as wafers processed by third-party foundries, cost associated with packaging, assembly, shipping, depreciation of equipment associated with manufacturing, cost of logistics and quality assurance, warranty cost, amortization of capitalized production masks, cost of personnel including salaries, stock-based compensation, and employee benefits, write-down of inventories, and allocation of general corporate expenses including allocated facilities expenses. </w:t>
      </w:r>
    </w:p>
    <w:p>
      <w:pPr>
        <w:pStyle w:val="TextBody"/>
        <w:bidi w:val="0"/>
        <w:spacing w:before="240" w:after="0"/>
        <w:jc w:val="both"/>
        <w:rPr>
          <w:rFonts w:ascii="Times New Roman" w:hAnsi="Times New Roman"/>
          <w:sz w:val="20"/>
        </w:rPr>
      </w:pPr>
      <w:r>
        <w:rPr>
          <w:rFonts w:ascii="Times New Roman" w:hAnsi="Times New Roman"/>
          <w:sz w:val="20"/>
        </w:rPr>
        <w:t xml:space="preserve">While amortization of capitalized production masks has not been historically material, we expect to incur more significant costs in the future as we continue to increase the number of additional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Margin </w:t>
      </w:r>
    </w:p>
    <w:p>
      <w:pPr>
        <w:pStyle w:val="TextBody"/>
        <w:bidi w:val="0"/>
        <w:spacing w:before="120" w:after="0"/>
        <w:jc w:val="both"/>
        <w:rPr>
          <w:rFonts w:ascii="Times New Roman" w:hAnsi="Times New Roman"/>
          <w:sz w:val="20"/>
        </w:rPr>
      </w:pPr>
      <w:r>
        <w:rPr>
          <w:rFonts w:ascii="Times New Roman" w:hAnsi="Times New Roman"/>
          <w:sz w:val="20"/>
        </w:rPr>
        <w:t xml:space="preserve">Gross profit represents revenue less cost of revenue. Gross margin is gross profit expressed as a percentage of revenue. Our gross profit has been, and may in the future be, influenced by several factors, including sales volume and pricing of our products and services, changes in product costs, contract manufacturing, and supplier pricing, personnel costs, shipping, and logistics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consist of research and development, sales and marketing, and general and administrative expenses. Personnel costs are the most significant component of operating expenses and consist of salaries, stock-based compensation expense, employee benefits, and bonuses. Operating expenses also include software license costs, pre-production engineering mask costs, professional and consulting services, and overhead costs for facilities and other shared expenses, including depreciation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consist of costs incurred in performing research and development activities and include salaries, stock-based compensation expense, employee benefits, bonuses, pre-production engineering mask costs, prototype wafer, packaging and test costs, and allocated facilities expenses. Research and development costs are expensed as incurred. </w:t>
      </w:r>
    </w:p>
    <w:p>
      <w:pPr>
        <w:pStyle w:val="TextBody"/>
        <w:bidi w:val="0"/>
        <w:spacing w:before="240" w:after="0"/>
        <w:jc w:val="both"/>
        <w:rPr>
          <w:rFonts w:ascii="Times New Roman" w:hAnsi="Times New Roman"/>
          <w:sz w:val="20"/>
        </w:rPr>
      </w:pPr>
      <w:r>
        <w:rPr>
          <w:rFonts w:ascii="Times New Roman" w:hAnsi="Times New Roman"/>
          <w:sz w:val="20"/>
        </w:rPr>
        <w:t xml:space="preserve">Pre-production engineering mask costs are expensed. We capitalize the costs of production masks with alternative future use. To determine if a production mask has alternative future use or benefits, we evaluate risks associated with developing new technologies and capabilities, and the related risks associated with entering new markets. Production masks that do not meet the criteria for capitalization will be expensed as research and development costs.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continued investments in our products are important to our future growth and, as a result, we expect our research and development expenses to continue to increase in absolute dollars. We expect our research and development expenses to increase in absolute dollars and moderately decline as a percentage of revenue over time if our revenue increases.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120" w:after="0"/>
        <w:jc w:val="both"/>
        <w:rPr>
          <w:rFonts w:ascii="Times New Roman" w:hAnsi="Times New Roman"/>
          <w:sz w:val="20"/>
        </w:rPr>
      </w:pPr>
      <w:r>
        <w:rPr>
          <w:rFonts w:ascii="Times New Roman" w:hAnsi="Times New Roman"/>
          <w:sz w:val="20"/>
        </w:rPr>
        <w:t xml:space="preserve">Sales and marketing expenses consist of personnel costs including salaries, stock-based compensation expense, employee benefits, bonuses, samples to potential customers, travel and entertainment costs, and allocated facilities expenses.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our sales and marketing expenses will increase in absolute dollars as we increase our sales and marketing personnel and continue to expand our customer engagement with more design activities and increased product offerings. We expect our sales and marketing expenses to increase in absolute dollars and moderately decline as a percentage of revenue over time if our revenue increases.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General and administrative expenses consist primarily of personnel costs including salaries, stock-based compensation expense, employee benefits and bonuses related to corporate, finance, legal and human resource functions, professional services fees, audit and compliance expenses, insurance costs, and general corporate expenses including allocated facilities expenses. </w:t>
      </w:r>
    </w:p>
    <w:p>
      <w:pPr>
        <w:pStyle w:val="TextBody"/>
        <w:bidi w:val="0"/>
        <w:spacing w:before="240" w:after="0"/>
        <w:jc w:val="both"/>
        <w:rPr>
          <w:rFonts w:ascii="Times New Roman" w:hAnsi="Times New Roman"/>
          <w:sz w:val="20"/>
        </w:rPr>
      </w:pPr>
      <w:r>
        <w:rPr>
          <w:rFonts w:ascii="Times New Roman" w:hAnsi="Times New Roman"/>
          <w:sz w:val="20"/>
        </w:rPr>
        <w:t xml:space="preserve">We expect general and administrative expenses to increase in absolute dollars as we grow our operations and incur additional expenses associated with operating as a public company. These expenses as a result of operating as a public company include expenses necessary to comply with the rules and regulations applicable to companies listed on a national securities exchange and related compliance and reporting obligations pursuant to the rules and regulations of the SEC, as well as higher expenses for general and director and officer insurance, investor relations and other professional services. We expect our general and administrative expenses to increase in absolute dollars and moderately decline as a percentage of revenue over time if our revenue increases.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consists of income earned on our short-term investments included in cash and cash equivalents and marketable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Provision </w:t>
      </w:r>
    </w:p>
    <w:p>
      <w:pPr>
        <w:pStyle w:val="TextBody"/>
        <w:bidi w:val="0"/>
        <w:spacing w:before="120" w:after="0"/>
        <w:jc w:val="both"/>
        <w:rPr>
          <w:rFonts w:ascii="Times New Roman" w:hAnsi="Times New Roman"/>
          <w:sz w:val="20"/>
        </w:rPr>
      </w:pPr>
      <w:r>
        <w:rPr>
          <w:rFonts w:ascii="Times New Roman" w:hAnsi="Times New Roman"/>
          <w:sz w:val="20"/>
        </w:rPr>
        <w:t xml:space="preserve">Income tax provision consists primarily of U.S. federal, state, and foreign income taxes. We maintain a full valuation allowance on our federal and state deferred tax assets as we have concluded that it is not more likely than not that the deferred tax assets will be realized. The Tax Cuts and Jobs Act (TCJA) requires taxpayers to capitalize and amortize research and development expenditures under Internal Revenue Code Section 174 for tax years beginning after December 31, 2021. The rule became effective for us during the year ended December 31, 2022 and resulted in the capitalization of research and development costs which was offset by a valuation allowance. We will amortize these costs for tax purposes over 5 years for research and development performed in the U.S., and over 15 years for research and development performed outside of United States. The effect of the TCJA has resulted in us reporting taxable income in 2022 and 2023 despite incurring a pre-tax loss. </w:t>
      </w:r>
    </w:p>
    <w:p>
      <w:pPr>
        <w:pStyle w:val="TextBody"/>
        <w:bidi w:val="0"/>
        <w:spacing w:before="240" w:after="0"/>
        <w:jc w:val="both"/>
        <w:rPr>
          <w:rFonts w:ascii="Times New Roman" w:hAnsi="Times New Roman"/>
          <w:sz w:val="20"/>
        </w:rPr>
      </w:pPr>
      <w:r>
        <w:rPr>
          <w:rFonts w:ascii="Times New Roman" w:hAnsi="Times New Roman"/>
          <w:sz w:val="20"/>
        </w:rPr>
        <w:t xml:space="preserve">We account for uncertain tax positions in accordance with Accounting Standards Codification (ASC) 740-10, </w:t>
      </w:r>
      <w:r>
        <w:rPr>
          <w:rFonts w:ascii="Times New Roman" w:hAnsi="Times New Roman"/>
          <w:i/>
          <w:sz w:val="20"/>
        </w:rPr>
        <w:t>Accounting for Uncertainty in Income Taxes</w:t>
      </w:r>
      <w:r>
        <w:rPr>
          <w:rFonts w:ascii="Times New Roman" w:hAnsi="Times New Roman"/>
          <w:sz w:val="20"/>
        </w:rPr>
        <w:t xml:space="preserve">.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consolidated financial statements as income tax expense.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derived from our statements of operations for each of the periods presented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64"/>
        <w:gridCol w:w="227"/>
        <w:gridCol w:w="140"/>
        <w:gridCol w:w="811"/>
        <w:gridCol w:w="155"/>
        <w:gridCol w:w="198"/>
        <w:gridCol w:w="140"/>
        <w:gridCol w:w="811"/>
        <w:gridCol w:w="159"/>
      </w:tblGrid>
      <w:tr>
        <w:trPr/>
        <w:tc>
          <w:tcPr>
            <w:tcW w:w="7564"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6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255"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159" w:type="dxa"/>
            <w:tcBorders/>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79,872</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115,794</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revenue(1)</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21,191</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35,967</w:t>
            </w:r>
          </w:p>
        </w:tc>
        <w:tc>
          <w:tcPr>
            <w:tcW w:w="159" w:type="dxa"/>
            <w:tcBorders/>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58,681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79,827</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73,711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73,407</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24,407</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19,992</w:t>
            </w:r>
          </w:p>
        </w:tc>
        <w:tc>
          <w:tcPr>
            <w:tcW w:w="159" w:type="dxa"/>
            <w:tcBorders/>
            <w:vAlign w:val="bottom"/>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20,757</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15,925</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118,875</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109,324</w:t>
            </w:r>
          </w:p>
        </w:tc>
        <w:tc>
          <w:tcPr>
            <w:tcW w:w="159" w:type="dxa"/>
            <w:tcBorders/>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(60,194</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(29,497</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2,613</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6,549</w:t>
            </w:r>
          </w:p>
        </w:tc>
        <w:tc>
          <w:tcPr>
            <w:tcW w:w="159" w:type="dxa"/>
            <w:tcBorders/>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(57,581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(22,948</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764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3,309</w:t>
            </w:r>
          </w:p>
        </w:tc>
        <w:tc>
          <w:tcPr>
            <w:tcW w:w="159" w:type="dxa"/>
            <w:tcBorders/>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(58,345</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(26,257</w:t>
            </w:r>
          </w:p>
        </w:tc>
        <w:tc>
          <w:tcPr>
            <w:tcW w:w="159" w:type="dxa"/>
            <w:tcBorders/>
            <w:shd w:fill="CCEEFF" w:val="clear"/>
            <w:vAlign w:val="bottom"/>
          </w:tcPr>
          <w:p>
            <w:pPr>
              <w:pStyle w:val="TableContents"/>
              <w:bidi w:val="0"/>
              <w:spacing w:before="0" w:after="283"/>
              <w:jc w:val="left"/>
              <w:rPr/>
            </w:pPr>
            <w:r>
              <w:rPr/>
              <w:t>) </w:t>
            </w:r>
          </w:p>
        </w:tc>
      </w:tr>
      <w:tr>
        <w:trPr/>
        <w:tc>
          <w:tcPr>
            <w:tcW w:w="756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stock-based compensation expense as follows (in thousands):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750" w:type="pct"/>
        <w:jc w:val="center"/>
        <w:tblInd w:w="0" w:type="dxa"/>
        <w:tblLayout w:type="fixed"/>
        <w:tblCellMar>
          <w:top w:w="0" w:type="dxa"/>
          <w:left w:w="0" w:type="dxa"/>
          <w:bottom w:w="0" w:type="dxa"/>
          <w:right w:w="0" w:type="dxa"/>
        </w:tblCellMar>
      </w:tblPr>
      <w:tblGrid>
        <w:gridCol w:w="5243"/>
        <w:gridCol w:w="304"/>
        <w:gridCol w:w="142"/>
        <w:gridCol w:w="698"/>
        <w:gridCol w:w="60"/>
        <w:gridCol w:w="304"/>
        <w:gridCol w:w="142"/>
        <w:gridCol w:w="698"/>
        <w:gridCol w:w="62"/>
      </w:tblGrid>
      <w:tr>
        <w:trPr/>
        <w:tc>
          <w:tcPr>
            <w:tcW w:w="5243"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4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044" w:type="dxa"/>
            <w:gridSpan w:val="6"/>
            <w:tcBorders>
              <w:bottom w:val="single" w:sz="8" w:space="0" w:color="000000"/>
            </w:tcBorders>
            <w:tcMar>
              <w:bottom w:w="28" w:type="dxa"/>
            </w:tcMar>
            <w:vAlign w:val="bottom"/>
          </w:tcPr>
          <w:p>
            <w:pPr>
              <w:pStyle w:val="TableContents"/>
              <w:bidi w:val="0"/>
              <w:spacing w:before="0" w:after="283"/>
              <w:jc w:val="center"/>
              <w:rPr/>
            </w:pPr>
            <w:r>
              <w:rPr>
                <w:b/>
              </w:rPr>
              <w:t>Years Ended</w:t>
            </w:r>
            <w:r>
              <w:rPr/>
              <w:br/>
            </w:r>
            <w:r>
              <w:rPr>
                <w:b/>
              </w:rPr>
              <w:t>December 31,</w:t>
            </w:r>
          </w:p>
        </w:tc>
        <w:tc>
          <w:tcPr>
            <w:tcW w:w="62" w:type="dxa"/>
            <w:tcBorders/>
            <w:vAlign w:val="bottom"/>
          </w:tcPr>
          <w:p>
            <w:pPr>
              <w:pStyle w:val="TableContents"/>
              <w:bidi w:val="0"/>
              <w:spacing w:before="0" w:after="283"/>
              <w:jc w:val="left"/>
              <w:rPr/>
            </w:pPr>
            <w:r>
              <w:rPr/>
              <w:t> </w:t>
            </w:r>
          </w:p>
        </w:tc>
      </w:tr>
      <w:tr>
        <w:trPr/>
        <w:tc>
          <w:tcPr>
            <w:tcW w:w="5243"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2" w:type="dxa"/>
            <w:tcBorders/>
            <w:vAlign w:val="bottom"/>
          </w:tcPr>
          <w:p>
            <w:pPr>
              <w:pStyle w:val="TableContents"/>
              <w:bidi w:val="0"/>
              <w:spacing w:before="0" w:after="283"/>
              <w:jc w:val="left"/>
              <w:rPr/>
            </w:pPr>
            <w:r>
              <w:rPr/>
              <w:t> </w:t>
            </w:r>
          </w:p>
        </w:tc>
      </w:tr>
      <w:tr>
        <w:trPr/>
        <w:tc>
          <w:tcPr>
            <w:tcW w:w="5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24</w:t>
            </w:r>
          </w:p>
        </w:tc>
        <w:tc>
          <w:tcPr>
            <w:tcW w:w="62" w:type="dxa"/>
            <w:tcBorders/>
            <w:shd w:fill="CCEEFF" w:val="clear"/>
            <w:vAlign w:val="bottom"/>
          </w:tcPr>
          <w:p>
            <w:pPr>
              <w:pStyle w:val="TableContents"/>
              <w:bidi w:val="0"/>
              <w:spacing w:before="0" w:after="283"/>
              <w:jc w:val="left"/>
              <w:rPr/>
            </w:pPr>
            <w:r>
              <w:rPr/>
              <w:t> </w:t>
            </w:r>
          </w:p>
        </w:tc>
      </w:tr>
      <w:tr>
        <w:trPr/>
        <w:tc>
          <w:tcPr>
            <w:tcW w:w="524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11,223</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7,360</w:t>
            </w:r>
          </w:p>
        </w:tc>
        <w:tc>
          <w:tcPr>
            <w:tcW w:w="62" w:type="dxa"/>
            <w:tcBorders/>
            <w:vAlign w:val="bottom"/>
          </w:tcPr>
          <w:p>
            <w:pPr>
              <w:pStyle w:val="TableContents"/>
              <w:bidi w:val="0"/>
              <w:spacing w:before="0" w:after="283"/>
              <w:jc w:val="left"/>
              <w:rPr/>
            </w:pPr>
            <w:r>
              <w:rPr/>
              <w:t> </w:t>
            </w:r>
          </w:p>
        </w:tc>
      </w:tr>
      <w:tr>
        <w:trPr/>
        <w:tc>
          <w:tcPr>
            <w:tcW w:w="5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10,148</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2,067</w:t>
            </w:r>
          </w:p>
        </w:tc>
        <w:tc>
          <w:tcPr>
            <w:tcW w:w="62" w:type="dxa"/>
            <w:tcBorders/>
            <w:shd w:fill="CCEEFF" w:val="clear"/>
            <w:vAlign w:val="bottom"/>
          </w:tcPr>
          <w:p>
            <w:pPr>
              <w:pStyle w:val="TableContents"/>
              <w:bidi w:val="0"/>
              <w:spacing w:before="0" w:after="283"/>
              <w:jc w:val="left"/>
              <w:rPr/>
            </w:pPr>
            <w:r>
              <w:rPr/>
              <w:t> </w:t>
            </w:r>
          </w:p>
        </w:tc>
      </w:tr>
      <w:tr>
        <w:trPr/>
        <w:tc>
          <w:tcPr>
            <w:tcW w:w="524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8,854</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1,228</w:t>
            </w:r>
          </w:p>
        </w:tc>
        <w:tc>
          <w:tcPr>
            <w:tcW w:w="62" w:type="dxa"/>
            <w:tcBorders/>
            <w:vAlign w:val="bottom"/>
          </w:tcPr>
          <w:p>
            <w:pPr>
              <w:pStyle w:val="TableContents"/>
              <w:bidi w:val="0"/>
              <w:spacing w:before="0" w:after="283"/>
              <w:jc w:val="left"/>
              <w:rPr/>
            </w:pPr>
            <w:r>
              <w:rPr/>
              <w:t> </w:t>
            </w:r>
          </w:p>
        </w:tc>
      </w:tr>
      <w:tr>
        <w:trPr/>
        <w:tc>
          <w:tcPr>
            <w:tcW w:w="5243"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30,235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98" w:type="dxa"/>
            <w:tcBorders/>
            <w:shd w:fill="CCEEFF" w:val="clear"/>
            <w:vAlign w:val="bottom"/>
          </w:tcPr>
          <w:p>
            <w:pPr>
              <w:pStyle w:val="TableContents"/>
              <w:bidi w:val="0"/>
              <w:spacing w:before="0" w:after="283"/>
              <w:jc w:val="right"/>
              <w:rPr/>
            </w:pPr>
            <w:r>
              <w:rPr/>
              <w:t>10,679</w:t>
            </w:r>
          </w:p>
        </w:tc>
        <w:tc>
          <w:tcPr>
            <w:tcW w:w="62" w:type="dxa"/>
            <w:tcBorders/>
            <w:shd w:fill="CCEEFF" w:val="clear"/>
            <w:vAlign w:val="bottom"/>
          </w:tcPr>
          <w:p>
            <w:pPr>
              <w:pStyle w:val="TableContents"/>
              <w:bidi w:val="0"/>
              <w:spacing w:before="0" w:after="283"/>
              <w:jc w:val="left"/>
              <w:rPr/>
            </w:pPr>
            <w:r>
              <w:rPr/>
              <w:t> </w:t>
            </w:r>
          </w:p>
        </w:tc>
      </w:tr>
      <w:tr>
        <w:trPr/>
        <w:tc>
          <w:tcPr>
            <w:tcW w:w="5243"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both"/>
        <w:rPr>
          <w:rFonts w:ascii="Times New Roman" w:hAnsi="Times New Roman"/>
          <w:sz w:val="20"/>
        </w:rPr>
      </w:pPr>
      <w:r>
        <w:rPr>
          <w:rFonts w:ascii="Times New Roman" w:hAnsi="Times New Roman"/>
          <w:sz w:val="20"/>
        </w:rPr>
        <w:t xml:space="preserve">Stock-based compensation for the year ended December 31, 2022 includes $17.7 million related to secondary transactions for the quarter ended June 30, 2022. See Note 9 to our consolidated financial statements included elsewhere in this prospectus for additional details on the secondary transactions. </w:t>
      </w:r>
    </w:p>
    <w:p>
      <w:pPr>
        <w:pStyle w:val="TextBody"/>
        <w:bidi w:val="0"/>
        <w:spacing w:before="120" w:after="0"/>
        <w:jc w:val="both"/>
        <w:rPr>
          <w:rFonts w:ascii="Times New Roman" w:hAnsi="Times New Roman"/>
          <w:sz w:val="20"/>
        </w:rPr>
      </w:pPr>
      <w:r>
        <w:rPr>
          <w:rFonts w:ascii="Times New Roman" w:hAnsi="Times New Roman"/>
          <w:sz w:val="20"/>
        </w:rPr>
        <w:t xml:space="preserve">If we had determined the liquidity event condition of our RSUs was probable of achievement as of December 31, 2023, we would have recognized $62.3 million of cumulative stock-based compensation expense as of that date and would have $51.2 million of unrecognized compensation cost that represents the RSUs that have not satisfied the time condition for vesting.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consolidated statements of operations data expressed as a percentage of 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2"/>
        <w:gridCol w:w="398"/>
        <w:gridCol w:w="78"/>
        <w:gridCol w:w="506"/>
        <w:gridCol w:w="424"/>
        <w:gridCol w:w="356"/>
        <w:gridCol w:w="78"/>
        <w:gridCol w:w="510"/>
        <w:gridCol w:w="353"/>
      </w:tblGrid>
      <w:tr>
        <w:trPr/>
        <w:tc>
          <w:tcPr>
            <w:tcW w:w="750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750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5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1952" w:type="dxa"/>
            <w:gridSpan w:val="6"/>
            <w:tcBorders/>
            <w:vAlign w:val="bottom"/>
          </w:tcPr>
          <w:p>
            <w:pPr>
              <w:pStyle w:val="TableContents"/>
              <w:bidi w:val="0"/>
              <w:spacing w:before="0" w:after="283"/>
              <w:jc w:val="center"/>
              <w:rPr>
                <w:b/>
              </w:rPr>
            </w:pPr>
            <w:r>
              <w:rPr>
                <w:b/>
              </w:rPr>
              <w:t>(as a percentage</w:t>
              <w:br/>
              <w:t>of revenue)(1)</w:t>
            </w:r>
          </w:p>
        </w:tc>
        <w:tc>
          <w:tcPr>
            <w:tcW w:w="353" w:type="dxa"/>
            <w:tcBorders/>
            <w:vAlign w:val="bottom"/>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100</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100</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27</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31</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73</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69</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92</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63</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31</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17</w:t>
            </w:r>
          </w:p>
        </w:tc>
        <w:tc>
          <w:tcPr>
            <w:tcW w:w="353" w:type="dxa"/>
            <w:tcBorders/>
            <w:vAlign w:val="bottom"/>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26</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14</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149</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94</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(75</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(25</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3</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6</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(72</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(20</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1</w:t>
            </w:r>
          </w:p>
        </w:tc>
        <w:tc>
          <w:tcPr>
            <w:tcW w:w="42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3</w:t>
            </w:r>
          </w:p>
        </w:tc>
        <w:tc>
          <w:tcPr>
            <w:tcW w:w="353" w:type="dxa"/>
            <w:tcBorders/>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06"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510"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75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(73</w:t>
            </w:r>
          </w:p>
        </w:tc>
        <w:tc>
          <w:tcPr>
            <w:tcW w:w="42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right"/>
              <w:rPr/>
            </w:pPr>
            <w:r>
              <w:rPr/>
              <w:t>(23</w:t>
            </w:r>
          </w:p>
        </w:tc>
        <w:tc>
          <w:tcPr>
            <w:tcW w:w="353" w:type="dxa"/>
            <w:tcBorders/>
            <w:shd w:fill="CCEEFF" w:val="clear"/>
            <w:vAlign w:val="bottom"/>
          </w:tcPr>
          <w:p>
            <w:pPr>
              <w:pStyle w:val="TableContents"/>
              <w:bidi w:val="0"/>
              <w:spacing w:before="0" w:after="283"/>
              <w:jc w:val="left"/>
              <w:rPr/>
            </w:pPr>
            <w:r>
              <w:rPr/>
              <w:t>)% </w:t>
            </w:r>
          </w:p>
        </w:tc>
      </w:tr>
      <w:tr>
        <w:trPr/>
        <w:tc>
          <w:tcPr>
            <w:tcW w:w="7502"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506"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510" w:type="dxa"/>
            <w:tcBorders/>
            <w:vAlign w:val="bottom"/>
          </w:tcPr>
          <w:p>
            <w:pPr>
              <w:pStyle w:val="TableContents"/>
              <w:pBdr>
                <w:top w:val="double" w:sz="6"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Totals of percentage of revenue may not sum due to rounding.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Comparison of Years Ended December 31, 2022 and 2023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6"/>
        <w:gridCol w:w="279"/>
        <w:gridCol w:w="140"/>
        <w:gridCol w:w="716"/>
        <w:gridCol w:w="60"/>
        <w:gridCol w:w="279"/>
        <w:gridCol w:w="140"/>
        <w:gridCol w:w="810"/>
        <w:gridCol w:w="60"/>
        <w:gridCol w:w="279"/>
        <w:gridCol w:w="140"/>
        <w:gridCol w:w="716"/>
        <w:gridCol w:w="60"/>
        <w:gridCol w:w="279"/>
        <w:gridCol w:w="224"/>
        <w:gridCol w:w="954"/>
        <w:gridCol w:w="283"/>
      </w:tblGrid>
      <w:tr>
        <w:trPr/>
        <w:tc>
          <w:tcPr>
            <w:tcW w:w="4786"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145" w:type="dxa"/>
            <w:gridSpan w:val="6"/>
            <w:tcBorders>
              <w:bottom w:val="single" w:sz="8" w:space="0" w:color="000000"/>
            </w:tcBorders>
            <w:tcMar>
              <w:bottom w:w="28" w:type="dxa"/>
            </w:tcMar>
            <w:vAlign w:val="bottom"/>
          </w:tcPr>
          <w:p>
            <w:pPr>
              <w:pStyle w:val="TableContents"/>
              <w:bidi w:val="0"/>
              <w:spacing w:before="0" w:after="283"/>
              <w:jc w:val="center"/>
              <w:rPr/>
            </w:pPr>
            <w:r>
              <w:rPr>
                <w:b/>
                <w:sz w:val="16"/>
              </w:rPr>
              <w:t>Years Ended</w:t>
            </w:r>
            <w:r>
              <w:rPr/>
              <w:br/>
            </w:r>
            <w:r>
              <w:rPr>
                <w:b/>
                <w:sz w:val="16"/>
              </w:rPr>
              <w:t>December 31,</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2373" w:type="dxa"/>
            <w:gridSpan w:val="6"/>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3" w:type="dxa"/>
            <w:tcBorders/>
            <w:vAlign w:val="bottom"/>
          </w:tcPr>
          <w:p>
            <w:pPr>
              <w:pStyle w:val="TableContents"/>
              <w:bidi w:val="0"/>
              <w:spacing w:before="0" w:after="283"/>
              <w:jc w:val="left"/>
              <w:rPr/>
            </w:pPr>
            <w:r>
              <w:rPr/>
              <w:t> </w:t>
            </w:r>
          </w:p>
        </w:tc>
      </w:tr>
      <w:tr>
        <w:trPr/>
        <w:tc>
          <w:tcPr>
            <w:tcW w:w="4786"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857" w:type="dxa"/>
            <w:gridSpan w:val="14"/>
            <w:tcBorders/>
            <w:vAlign w:val="bottom"/>
          </w:tcPr>
          <w:p>
            <w:pPr>
              <w:pStyle w:val="TableContents"/>
              <w:bidi w:val="0"/>
              <w:spacing w:before="0" w:after="283"/>
              <w:jc w:val="center"/>
              <w:rPr>
                <w:b/>
                <w:sz w:val="16"/>
              </w:rPr>
            </w:pPr>
            <w:r>
              <w:rPr>
                <w:b/>
                <w:sz w:val="16"/>
              </w:rPr>
              <w:t>(dollars in thousands)</w:t>
            </w:r>
          </w:p>
        </w:tc>
        <w:tc>
          <w:tcPr>
            <w:tcW w:w="283" w:type="dxa"/>
            <w:tcBorders/>
            <w:vAlign w:val="bottom"/>
          </w:tcPr>
          <w:p>
            <w:pPr>
              <w:pStyle w:val="TableContents"/>
              <w:bidi w:val="0"/>
              <w:spacing w:before="0" w:after="283"/>
              <w:jc w:val="left"/>
              <w:rPr/>
            </w:pPr>
            <w:r>
              <w:rPr/>
              <w:t> </w:t>
            </w:r>
          </w:p>
        </w:tc>
      </w:tr>
      <w:tr>
        <w:trPr/>
        <w:tc>
          <w:tcPr>
            <w:tcW w:w="47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79,872</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115,794</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35,922</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45</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Total revenue increased $35.9 million, or 45%, for the year ended December 31, 2023 compared to the year ended December 31, 2022, primarily due to a 22% increase in the number of Aries retimers shipped, which was driven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by higher demand in our Aries product and a 14% increase in the overall average selling prices. The increase in overall average selling price during the year ended December 31, 2023 was primarily due to a higher mix of our current generation Aries retimers and an increased mix of Taurus and Leo products, all of which have higher average selling prices than our previous generation of Aries retimers.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7"/>
        <w:gridCol w:w="282"/>
        <w:gridCol w:w="140"/>
        <w:gridCol w:w="719"/>
        <w:gridCol w:w="60"/>
        <w:gridCol w:w="282"/>
        <w:gridCol w:w="140"/>
        <w:gridCol w:w="719"/>
        <w:gridCol w:w="60"/>
        <w:gridCol w:w="282"/>
        <w:gridCol w:w="140"/>
        <w:gridCol w:w="719"/>
        <w:gridCol w:w="60"/>
        <w:gridCol w:w="281"/>
        <w:gridCol w:w="209"/>
        <w:gridCol w:w="959"/>
        <w:gridCol w:w="286"/>
      </w:tblGrid>
      <w:tr>
        <w:trPr/>
        <w:tc>
          <w:tcPr>
            <w:tcW w:w="4867"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86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60" w:type="dxa"/>
            <w:gridSpan w:val="6"/>
            <w:tcBorders>
              <w:bottom w:val="single" w:sz="8" w:space="0" w:color="000000"/>
            </w:tcBorders>
            <w:tcMar>
              <w:bottom w:w="28" w:type="dxa"/>
            </w:tcMar>
            <w:vAlign w:val="bottom"/>
          </w:tcPr>
          <w:p>
            <w:pPr>
              <w:pStyle w:val="TableContents"/>
              <w:bidi w:val="0"/>
              <w:spacing w:before="0" w:after="283"/>
              <w:jc w:val="center"/>
              <w:rPr/>
            </w:pPr>
            <w:r>
              <w:rPr>
                <w:b/>
                <w:sz w:val="16"/>
              </w:rPr>
              <w:t>Years Ended</w:t>
            </w:r>
            <w:r>
              <w:rPr/>
              <w:br/>
            </w:r>
            <w:r>
              <w:rPr>
                <w:b/>
                <w:sz w:val="16"/>
              </w:rPr>
              <w:t>December 31,</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368" w:type="dxa"/>
            <w:gridSpan w:val="6"/>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r>
      <w:tr>
        <w:trPr/>
        <w:tc>
          <w:tcPr>
            <w:tcW w:w="486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6" w:type="dxa"/>
            <w:tcBorders/>
            <w:vAlign w:val="bottom"/>
          </w:tcPr>
          <w:p>
            <w:pPr>
              <w:pStyle w:val="TableContents"/>
              <w:bidi w:val="0"/>
              <w:spacing w:before="0" w:after="283"/>
              <w:jc w:val="left"/>
              <w:rPr/>
            </w:pPr>
            <w:r>
              <w:rPr/>
              <w:t> </w:t>
            </w:r>
          </w:p>
        </w:tc>
      </w:tr>
      <w:tr>
        <w:trPr/>
        <w:tc>
          <w:tcPr>
            <w:tcW w:w="4867"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4770" w:type="dxa"/>
            <w:gridSpan w:val="14"/>
            <w:tcBorders/>
            <w:vAlign w:val="bottom"/>
          </w:tcPr>
          <w:p>
            <w:pPr>
              <w:pStyle w:val="TableContents"/>
              <w:bidi w:val="0"/>
              <w:spacing w:before="0" w:after="283"/>
              <w:jc w:val="center"/>
              <w:rPr>
                <w:b/>
                <w:sz w:val="16"/>
              </w:rPr>
            </w:pPr>
            <w:r>
              <w:rPr>
                <w:b/>
                <w:sz w:val="16"/>
              </w:rPr>
              <w:t>(dollars in thousands)</w:t>
            </w:r>
          </w:p>
        </w:tc>
        <w:tc>
          <w:tcPr>
            <w:tcW w:w="286" w:type="dxa"/>
            <w:tcBorders/>
            <w:vAlign w:val="bottom"/>
          </w:tcPr>
          <w:p>
            <w:pPr>
              <w:pStyle w:val="TableContents"/>
              <w:bidi w:val="0"/>
              <w:spacing w:before="0" w:after="283"/>
              <w:jc w:val="left"/>
              <w:rPr/>
            </w:pPr>
            <w:r>
              <w:rPr/>
              <w:t> </w:t>
            </w:r>
          </w:p>
        </w:tc>
      </w:tr>
      <w:tr>
        <w:trPr/>
        <w:tc>
          <w:tcPr>
            <w:tcW w:w="4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21,191</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35,967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14,776</w:t>
            </w:r>
          </w:p>
        </w:tc>
        <w:tc>
          <w:tcPr>
            <w:tcW w:w="6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70</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Total cost of revenue increased $14.8 million, or 70%, for the year ended December 31, 2023 compared to the year ended December 31, 2022. The increase was primarily due to a 25% increase in overall shipments, a 13% increase in average unit cost, and a $9.7 million write down of inventory in excess of our sales forecast for a legacy customer system. The average unit cost increase was due primarily to product mix, as our current generation of Aries retimers, Taurus, and Leo products all of which have higher average unit costs than the previous generation of our Aries retimers.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Margin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6"/>
        <w:gridCol w:w="334"/>
        <w:gridCol w:w="140"/>
        <w:gridCol w:w="686"/>
        <w:gridCol w:w="288"/>
        <w:gridCol w:w="284"/>
        <w:gridCol w:w="140"/>
        <w:gridCol w:w="686"/>
        <w:gridCol w:w="288"/>
        <w:gridCol w:w="284"/>
        <w:gridCol w:w="140"/>
        <w:gridCol w:w="686"/>
        <w:gridCol w:w="60"/>
        <w:gridCol w:w="334"/>
        <w:gridCol w:w="208"/>
        <w:gridCol w:w="934"/>
        <w:gridCol w:w="297"/>
      </w:tblGrid>
      <w:tr>
        <w:trPr/>
        <w:tc>
          <w:tcPr>
            <w:tcW w:w="4416"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41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28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362" w:type="dxa"/>
            <w:gridSpan w:val="6"/>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r>
      <w:tr>
        <w:trPr/>
        <w:tc>
          <w:tcPr>
            <w:tcW w:w="441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97" w:type="dxa"/>
            <w:tcBorders/>
            <w:vAlign w:val="bottom"/>
          </w:tcPr>
          <w:p>
            <w:pPr>
              <w:pStyle w:val="TableContents"/>
              <w:bidi w:val="0"/>
              <w:spacing w:before="0" w:after="283"/>
              <w:jc w:val="left"/>
              <w:rPr/>
            </w:pPr>
            <w:r>
              <w:rPr/>
              <w:t> </w:t>
            </w:r>
          </w:p>
        </w:tc>
      </w:tr>
      <w:tr>
        <w:trPr/>
        <w:tc>
          <w:tcPr>
            <w:tcW w:w="4416"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158" w:type="dxa"/>
            <w:gridSpan w:val="14"/>
            <w:tcBorders/>
            <w:vAlign w:val="bottom"/>
          </w:tcPr>
          <w:p>
            <w:pPr>
              <w:pStyle w:val="TableContents"/>
              <w:bidi w:val="0"/>
              <w:spacing w:before="0" w:after="283"/>
              <w:jc w:val="center"/>
              <w:rPr>
                <w:b/>
              </w:rPr>
            </w:pPr>
            <w:r>
              <w:rPr>
                <w:b/>
              </w:rPr>
              <w:t>(dollars in thousands)</w:t>
            </w:r>
          </w:p>
        </w:tc>
        <w:tc>
          <w:tcPr>
            <w:tcW w:w="297" w:type="dxa"/>
            <w:tcBorders/>
            <w:vAlign w:val="bottom"/>
          </w:tcPr>
          <w:p>
            <w:pPr>
              <w:pStyle w:val="TableContents"/>
              <w:bidi w:val="0"/>
              <w:spacing w:before="0" w:after="283"/>
              <w:jc w:val="left"/>
              <w:rPr/>
            </w:pPr>
            <w:r>
              <w:rPr/>
              <w:t> </w:t>
            </w:r>
          </w:p>
        </w:tc>
      </w:tr>
      <w:tr>
        <w:trPr/>
        <w:tc>
          <w:tcPr>
            <w:tcW w:w="4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58,681</w:t>
            </w:r>
          </w:p>
        </w:tc>
        <w:tc>
          <w:tcPr>
            <w:tcW w:w="28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79,827</w:t>
            </w:r>
          </w:p>
        </w:tc>
        <w:tc>
          <w:tcPr>
            <w:tcW w:w="288"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21,146</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36</w:t>
            </w:r>
          </w:p>
        </w:tc>
        <w:tc>
          <w:tcPr>
            <w:tcW w:w="297" w:type="dxa"/>
            <w:tcBorders/>
            <w:shd w:fill="CCEEFF" w:val="clear"/>
            <w:vAlign w:val="bottom"/>
          </w:tcPr>
          <w:p>
            <w:pPr>
              <w:pStyle w:val="TableContents"/>
              <w:bidi w:val="0"/>
              <w:spacing w:before="0" w:after="283"/>
              <w:jc w:val="left"/>
              <w:rPr/>
            </w:pPr>
            <w:r>
              <w:rPr/>
              <w:t>% </w:t>
            </w:r>
          </w:p>
        </w:tc>
      </w:tr>
      <w:tr>
        <w:trPr/>
        <w:tc>
          <w:tcPr>
            <w:tcW w:w="4416"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73</w:t>
            </w:r>
          </w:p>
        </w:tc>
        <w:tc>
          <w:tcPr>
            <w:tcW w:w="28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69</w:t>
            </w:r>
          </w:p>
        </w:tc>
        <w:tc>
          <w:tcPr>
            <w:tcW w:w="288"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Gross profit increased $21.1 million, or 36%, from $58.7 million for the year ended December 31, 2022 to $79.8 million for the year ended December 31, 2023. The increase was primarily due to a 25% increase in product shipments and 14% higher average selling prices as a result of product mix partially offset by a $9.7 million write down of inventory in excess of our sales forecast for a legacy customer system. </w:t>
      </w:r>
    </w:p>
    <w:p>
      <w:pPr>
        <w:pStyle w:val="TextBody"/>
        <w:bidi w:val="0"/>
        <w:spacing w:before="240" w:after="0"/>
        <w:jc w:val="both"/>
        <w:rPr>
          <w:rFonts w:ascii="Times New Roman" w:hAnsi="Times New Roman"/>
          <w:sz w:val="20"/>
        </w:rPr>
      </w:pPr>
      <w:r>
        <w:rPr>
          <w:rFonts w:ascii="Times New Roman" w:hAnsi="Times New Roman"/>
          <w:sz w:val="20"/>
        </w:rPr>
        <w:t xml:space="preserve">Gross margin decreased 400 basis points from 73% for the year ended December 31, 2022 to 69% for the year ended December 31, 2023. The decrease was primarily due to a $9.7 million write down of inventory in excess of our sales forecast for a legacy customer system, partially offset by an increase in the overall average selling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6"/>
        <w:gridCol w:w="310"/>
        <w:gridCol w:w="140"/>
        <w:gridCol w:w="694"/>
        <w:gridCol w:w="275"/>
        <w:gridCol w:w="258"/>
        <w:gridCol w:w="140"/>
        <w:gridCol w:w="694"/>
        <w:gridCol w:w="275"/>
        <w:gridCol w:w="258"/>
        <w:gridCol w:w="191"/>
        <w:gridCol w:w="645"/>
        <w:gridCol w:w="155"/>
        <w:gridCol w:w="258"/>
        <w:gridCol w:w="340"/>
        <w:gridCol w:w="782"/>
        <w:gridCol w:w="284"/>
      </w:tblGrid>
      <w:tr>
        <w:trPr/>
        <w:tc>
          <w:tcPr>
            <w:tcW w:w="4506"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50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201"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27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371" w:type="dxa"/>
            <w:gridSpan w:val="6"/>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4" w:type="dxa"/>
            <w:tcBorders/>
            <w:vAlign w:val="bottom"/>
          </w:tcPr>
          <w:p>
            <w:pPr>
              <w:pStyle w:val="TableContents"/>
              <w:bidi w:val="0"/>
              <w:spacing w:before="0" w:after="283"/>
              <w:jc w:val="left"/>
              <w:rPr/>
            </w:pPr>
            <w:r>
              <w:rPr/>
              <w:t> </w:t>
            </w:r>
          </w:p>
        </w:tc>
      </w:tr>
      <w:tr>
        <w:trPr/>
        <w:tc>
          <w:tcPr>
            <w:tcW w:w="450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5105" w:type="dxa"/>
            <w:gridSpan w:val="14"/>
            <w:tcBorders/>
            <w:vAlign w:val="bottom"/>
          </w:tcPr>
          <w:p>
            <w:pPr>
              <w:pStyle w:val="TableContents"/>
              <w:bidi w:val="0"/>
              <w:spacing w:before="0" w:after="283"/>
              <w:jc w:val="center"/>
              <w:rPr>
                <w:b/>
              </w:rPr>
            </w:pPr>
            <w:r>
              <w:rPr>
                <w:b/>
              </w:rPr>
              <w:t>(dollars in thousands)</w:t>
            </w:r>
          </w:p>
        </w:tc>
        <w:tc>
          <w:tcPr>
            <w:tcW w:w="284" w:type="dxa"/>
            <w:tcBorders/>
            <w:vAlign w:val="bottom"/>
          </w:tcPr>
          <w:p>
            <w:pPr>
              <w:pStyle w:val="TableContents"/>
              <w:bidi w:val="0"/>
              <w:spacing w:before="0" w:after="283"/>
              <w:jc w:val="left"/>
              <w:rPr/>
            </w:pPr>
            <w:r>
              <w:rPr/>
              <w:t> </w:t>
            </w:r>
          </w:p>
        </w:tc>
      </w:tr>
      <w:tr>
        <w:trPr/>
        <w:tc>
          <w:tcPr>
            <w:tcW w:w="4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73,711</w:t>
            </w:r>
          </w:p>
        </w:tc>
        <w:tc>
          <w:tcPr>
            <w:tcW w:w="27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73,407</w:t>
            </w:r>
          </w:p>
        </w:tc>
        <w:tc>
          <w:tcPr>
            <w:tcW w:w="27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(304</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w:t>
            </w:r>
          </w:p>
        </w:tc>
        <w:tc>
          <w:tcPr>
            <w:tcW w:w="284" w:type="dxa"/>
            <w:tcBorders/>
            <w:shd w:fill="CCEEFF" w:val="clear"/>
            <w:vAlign w:val="bottom"/>
          </w:tcPr>
          <w:p>
            <w:pPr>
              <w:pStyle w:val="TableContents"/>
              <w:bidi w:val="0"/>
              <w:spacing w:before="0" w:after="283"/>
              <w:jc w:val="left"/>
              <w:rPr/>
            </w:pPr>
            <w:r>
              <w:rPr/>
              <w:t>% </w:t>
            </w:r>
          </w:p>
        </w:tc>
      </w:tr>
      <w:tr>
        <w:trPr/>
        <w:tc>
          <w:tcPr>
            <w:tcW w:w="4506"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92</w:t>
            </w:r>
          </w:p>
        </w:tc>
        <w:tc>
          <w:tcPr>
            <w:tcW w:w="27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Research and development expense decreased $0.3 million for the year ended December 31, 2023 compared to the year ended December 31, 2022. The decrease was primarily due to a $11.3 million decrease in pre-production engineering mask costs, a $3.7 million decrease in software license costs, and a $3.9 million decrease in stock-based compensation expense driven by higher secondary stock sales transactions for the year ended December 31, 2022. This decrease was partially offset by an increase of $15.8 million in personnel-related expenses and $2.3 million in allocated facilities expenses as a result of a 60% increase in research and development headcount to support our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and Marketing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6"/>
        <w:gridCol w:w="318"/>
        <w:gridCol w:w="140"/>
        <w:gridCol w:w="687"/>
        <w:gridCol w:w="288"/>
        <w:gridCol w:w="266"/>
        <w:gridCol w:w="140"/>
        <w:gridCol w:w="687"/>
        <w:gridCol w:w="288"/>
        <w:gridCol w:w="266"/>
        <w:gridCol w:w="147"/>
        <w:gridCol w:w="676"/>
        <w:gridCol w:w="155"/>
        <w:gridCol w:w="266"/>
        <w:gridCol w:w="169"/>
        <w:gridCol w:w="967"/>
        <w:gridCol w:w="359"/>
      </w:tblGrid>
      <w:tr>
        <w:trPr/>
        <w:tc>
          <w:tcPr>
            <w:tcW w:w="4386"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386"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28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2380" w:type="dxa"/>
            <w:gridSpan w:val="6"/>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9" w:type="dxa"/>
            <w:tcBorders/>
            <w:vAlign w:val="bottom"/>
          </w:tcPr>
          <w:p>
            <w:pPr>
              <w:pStyle w:val="TableContents"/>
              <w:bidi w:val="0"/>
              <w:spacing w:before="0" w:after="283"/>
              <w:jc w:val="left"/>
              <w:rPr/>
            </w:pPr>
            <w:r>
              <w:rPr/>
              <w:t> </w:t>
            </w:r>
          </w:p>
        </w:tc>
      </w:tr>
      <w:tr>
        <w:trPr/>
        <w:tc>
          <w:tcPr>
            <w:tcW w:w="4386"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5142" w:type="dxa"/>
            <w:gridSpan w:val="14"/>
            <w:tcBorders/>
            <w:vAlign w:val="bottom"/>
          </w:tcPr>
          <w:p>
            <w:pPr>
              <w:pStyle w:val="TableContents"/>
              <w:bidi w:val="0"/>
              <w:spacing w:before="0" w:after="283"/>
              <w:jc w:val="center"/>
              <w:rPr>
                <w:b/>
                <w:sz w:val="16"/>
              </w:rPr>
            </w:pPr>
            <w:r>
              <w:rPr>
                <w:b/>
                <w:sz w:val="16"/>
              </w:rPr>
              <w:t>(dollars in thousands)</w:t>
            </w:r>
          </w:p>
        </w:tc>
        <w:tc>
          <w:tcPr>
            <w:tcW w:w="359" w:type="dxa"/>
            <w:tcBorders/>
            <w:vAlign w:val="bottom"/>
          </w:tcPr>
          <w:p>
            <w:pPr>
              <w:pStyle w:val="TableContents"/>
              <w:bidi w:val="0"/>
              <w:spacing w:before="0" w:after="283"/>
              <w:jc w:val="left"/>
              <w:rPr/>
            </w:pPr>
            <w:r>
              <w:rPr/>
              <w:t> </w:t>
            </w:r>
          </w:p>
        </w:tc>
      </w:tr>
      <w:tr>
        <w:trPr/>
        <w:tc>
          <w:tcPr>
            <w:tcW w:w="4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24,407</w:t>
            </w:r>
          </w:p>
        </w:tc>
        <w:tc>
          <w:tcPr>
            <w:tcW w:w="28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19,992</w:t>
            </w:r>
          </w:p>
        </w:tc>
        <w:tc>
          <w:tcPr>
            <w:tcW w:w="288"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(4,415</w:t>
            </w:r>
          </w:p>
        </w:tc>
        <w:tc>
          <w:tcPr>
            <w:tcW w:w="15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(18</w:t>
            </w:r>
          </w:p>
        </w:tc>
        <w:tc>
          <w:tcPr>
            <w:tcW w:w="359" w:type="dxa"/>
            <w:tcBorders/>
            <w:shd w:fill="CCEEFF" w:val="clear"/>
            <w:vAlign w:val="bottom"/>
          </w:tcPr>
          <w:p>
            <w:pPr>
              <w:pStyle w:val="TableContents"/>
              <w:bidi w:val="0"/>
              <w:spacing w:before="0" w:after="283"/>
              <w:jc w:val="left"/>
              <w:rPr/>
            </w:pPr>
            <w:r>
              <w:rPr/>
              <w:t>)% </w:t>
            </w:r>
          </w:p>
        </w:tc>
      </w:tr>
      <w:tr>
        <w:trPr/>
        <w:tc>
          <w:tcPr>
            <w:tcW w:w="4386"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31</w:t>
            </w:r>
          </w:p>
        </w:tc>
        <w:tc>
          <w:tcPr>
            <w:tcW w:w="28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17</w:t>
            </w:r>
          </w:p>
        </w:tc>
        <w:tc>
          <w:tcPr>
            <w:tcW w:w="288"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and marketing expense decreased $4.4 million, or 18%, for the year ended December 31, 2023 compared to the year ended December 31, 2022. The decrease was primarily due to a $8.1 million decrease in stock-based compensation expense driven by higher secondary stock sales transactions for the year ended December 31, 2022. The decrease was partially offset by a $3.6 million increase in personnel-related expenses as a result of a 7% increase in headcount to support our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42"/>
        <w:gridCol w:w="307"/>
        <w:gridCol w:w="140"/>
        <w:gridCol w:w="685"/>
        <w:gridCol w:w="286"/>
        <w:gridCol w:w="255"/>
        <w:gridCol w:w="140"/>
        <w:gridCol w:w="685"/>
        <w:gridCol w:w="286"/>
        <w:gridCol w:w="255"/>
        <w:gridCol w:w="147"/>
        <w:gridCol w:w="675"/>
        <w:gridCol w:w="154"/>
        <w:gridCol w:w="255"/>
        <w:gridCol w:w="169"/>
        <w:gridCol w:w="964"/>
        <w:gridCol w:w="360"/>
      </w:tblGrid>
      <w:tr>
        <w:trPr/>
        <w:tc>
          <w:tcPr>
            <w:tcW w:w="4442"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91"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28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64" w:type="dxa"/>
            <w:gridSpan w:val="6"/>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4"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0"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096" w:type="dxa"/>
            <w:gridSpan w:val="14"/>
            <w:tcBorders/>
            <w:vAlign w:val="bottom"/>
          </w:tcPr>
          <w:p>
            <w:pPr>
              <w:pStyle w:val="TableContents"/>
              <w:bidi w:val="0"/>
              <w:spacing w:before="0" w:after="283"/>
              <w:jc w:val="center"/>
              <w:rPr>
                <w:b/>
              </w:rPr>
            </w:pPr>
            <w:r>
              <w:rPr>
                <w:b/>
              </w:rPr>
              <w:t>(dollars in thousands)</w:t>
            </w:r>
          </w:p>
        </w:tc>
        <w:tc>
          <w:tcPr>
            <w:tcW w:w="360"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20,757</w:t>
            </w:r>
          </w:p>
        </w:tc>
        <w:tc>
          <w:tcPr>
            <w:tcW w:w="28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5" w:type="dxa"/>
            <w:tcBorders/>
            <w:shd w:fill="CCEEFF" w:val="clear"/>
            <w:vAlign w:val="bottom"/>
          </w:tcPr>
          <w:p>
            <w:pPr>
              <w:pStyle w:val="TableContents"/>
              <w:bidi w:val="0"/>
              <w:spacing w:before="0" w:after="283"/>
              <w:jc w:val="right"/>
              <w:rPr/>
            </w:pPr>
            <w:r>
              <w:rPr/>
              <w:t>15,925</w:t>
            </w:r>
          </w:p>
        </w:tc>
        <w:tc>
          <w:tcPr>
            <w:tcW w:w="28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5" w:type="dxa"/>
            <w:tcBorders/>
            <w:shd w:fill="CCEEFF" w:val="clear"/>
            <w:vAlign w:val="bottom"/>
          </w:tcPr>
          <w:p>
            <w:pPr>
              <w:pStyle w:val="TableContents"/>
              <w:bidi w:val="0"/>
              <w:spacing w:before="0" w:after="283"/>
              <w:jc w:val="right"/>
              <w:rPr/>
            </w:pPr>
            <w:r>
              <w:rPr/>
              <w:t>(4,832</w:t>
            </w:r>
          </w:p>
        </w:tc>
        <w:tc>
          <w:tcPr>
            <w:tcW w:w="154"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4" w:type="dxa"/>
            <w:tcBorders/>
            <w:shd w:fill="CCEEFF" w:val="clear"/>
            <w:vAlign w:val="bottom"/>
          </w:tcPr>
          <w:p>
            <w:pPr>
              <w:pStyle w:val="TableContents"/>
              <w:bidi w:val="0"/>
              <w:spacing w:before="0" w:after="283"/>
              <w:jc w:val="right"/>
              <w:rPr/>
            </w:pPr>
            <w:r>
              <w:rPr/>
              <w:t>(23</w:t>
            </w:r>
          </w:p>
        </w:tc>
        <w:tc>
          <w:tcPr>
            <w:tcW w:w="360"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26</w:t>
            </w:r>
          </w:p>
        </w:tc>
        <w:tc>
          <w:tcPr>
            <w:tcW w:w="28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right"/>
              <w:rPr/>
            </w:pPr>
            <w:r>
              <w:rPr/>
              <w:t>14</w:t>
            </w:r>
          </w:p>
        </w:tc>
        <w:tc>
          <w:tcPr>
            <w:tcW w:w="28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4"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General and administrative expense decreased $4.8 million, or 23%, for the year ended December 31, 2023 compared to the year ended December 31, 2022. The decrease was primarily due to a $7.6 million decrease in stock-based compensation expense driven by higher secondary stock sales transactions for the year ended December 31, 2022. The decrease was partially offset by a $2.2 million increase in personnel-related expenses as a result of a 24% increase in headcount, a $1.6 million increase in professional services spending to support our growth, and $0.8 million in allocated facilities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9"/>
        <w:gridCol w:w="291"/>
        <w:gridCol w:w="140"/>
        <w:gridCol w:w="585"/>
        <w:gridCol w:w="60"/>
        <w:gridCol w:w="291"/>
        <w:gridCol w:w="140"/>
        <w:gridCol w:w="585"/>
        <w:gridCol w:w="60"/>
        <w:gridCol w:w="291"/>
        <w:gridCol w:w="163"/>
        <w:gridCol w:w="660"/>
        <w:gridCol w:w="59"/>
        <w:gridCol w:w="291"/>
        <w:gridCol w:w="152"/>
        <w:gridCol w:w="1043"/>
        <w:gridCol w:w="295"/>
      </w:tblGrid>
      <w:tr>
        <w:trPr/>
        <w:tc>
          <w:tcPr>
            <w:tcW w:w="509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509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801"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68" w:type="dxa"/>
            <w:gridSpan w:val="6"/>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5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95" w:type="dxa"/>
            <w:tcBorders/>
            <w:vAlign w:val="bottom"/>
          </w:tcPr>
          <w:p>
            <w:pPr>
              <w:pStyle w:val="TableContents"/>
              <w:bidi w:val="0"/>
              <w:spacing w:before="0" w:after="283"/>
              <w:jc w:val="left"/>
              <w:rPr/>
            </w:pPr>
            <w:r>
              <w:rPr/>
              <w:t> </w:t>
            </w:r>
          </w:p>
        </w:tc>
      </w:tr>
      <w:tr>
        <w:trPr/>
        <w:tc>
          <w:tcPr>
            <w:tcW w:w="509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4520" w:type="dxa"/>
            <w:gridSpan w:val="14"/>
            <w:tcBorders/>
            <w:vAlign w:val="bottom"/>
          </w:tcPr>
          <w:p>
            <w:pPr>
              <w:pStyle w:val="TableContents"/>
              <w:bidi w:val="0"/>
              <w:spacing w:before="0" w:after="283"/>
              <w:jc w:val="center"/>
              <w:rPr>
                <w:b/>
              </w:rPr>
            </w:pPr>
            <w:r>
              <w:rPr>
                <w:b/>
              </w:rPr>
              <w:t>(dollars in thousands)</w:t>
            </w:r>
          </w:p>
        </w:tc>
        <w:tc>
          <w:tcPr>
            <w:tcW w:w="295" w:type="dxa"/>
            <w:tcBorders/>
            <w:vAlign w:val="bottom"/>
          </w:tcPr>
          <w:p>
            <w:pPr>
              <w:pStyle w:val="TableContents"/>
              <w:bidi w:val="0"/>
              <w:spacing w:before="0" w:after="283"/>
              <w:jc w:val="left"/>
              <w:rPr/>
            </w:pPr>
            <w:r>
              <w:rPr/>
              <w:t> </w:t>
            </w:r>
          </w:p>
        </w:tc>
      </w:tr>
      <w:tr>
        <w:trPr/>
        <w:tc>
          <w:tcPr>
            <w:tcW w:w="50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2,613</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6,549</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3,936</w:t>
            </w:r>
          </w:p>
        </w:tc>
        <w:tc>
          <w:tcPr>
            <w:tcW w:w="59"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151</w:t>
            </w:r>
          </w:p>
        </w:tc>
        <w:tc>
          <w:tcPr>
            <w:tcW w:w="29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Interest income increased $3.9 million, or 151%, for the year ended December 31, 2023 compared to the year ended December 31, 2022. The increase was primarily due to a higher average short-term investments and cash equivalents balances and higher interest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Provision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0"/>
        <w:gridCol w:w="289"/>
        <w:gridCol w:w="140"/>
        <w:gridCol w:w="384"/>
        <w:gridCol w:w="60"/>
        <w:gridCol w:w="289"/>
        <w:gridCol w:w="140"/>
        <w:gridCol w:w="599"/>
        <w:gridCol w:w="60"/>
        <w:gridCol w:w="289"/>
        <w:gridCol w:w="163"/>
        <w:gridCol w:w="676"/>
        <w:gridCol w:w="59"/>
        <w:gridCol w:w="289"/>
        <w:gridCol w:w="152"/>
        <w:gridCol w:w="1065"/>
        <w:gridCol w:w="301"/>
      </w:tblGrid>
      <w:tr>
        <w:trPr/>
        <w:tc>
          <w:tcPr>
            <w:tcW w:w="525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25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612"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Years Ended</w:t>
              <w:br/>
              <w:t>December 31,</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404" w:type="dxa"/>
            <w:gridSpan w:val="6"/>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01" w:type="dxa"/>
            <w:tcBorders/>
            <w:vAlign w:val="bottom"/>
          </w:tcPr>
          <w:p>
            <w:pPr>
              <w:pStyle w:val="TableContents"/>
              <w:bidi w:val="0"/>
              <w:spacing w:before="0" w:after="283"/>
              <w:jc w:val="left"/>
              <w:rPr/>
            </w:pPr>
            <w:r>
              <w:rPr/>
              <w:t> </w:t>
            </w:r>
          </w:p>
        </w:tc>
      </w:tr>
      <w:tr>
        <w:trPr/>
        <w:tc>
          <w:tcPr>
            <w:tcW w:w="525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365" w:type="dxa"/>
            <w:gridSpan w:val="14"/>
            <w:tcBorders/>
            <w:vAlign w:val="bottom"/>
          </w:tcPr>
          <w:p>
            <w:pPr>
              <w:pStyle w:val="TableContents"/>
              <w:bidi w:val="0"/>
              <w:spacing w:before="0" w:after="283"/>
              <w:jc w:val="center"/>
              <w:rPr>
                <w:b/>
              </w:rPr>
            </w:pPr>
            <w:r>
              <w:rPr>
                <w:b/>
              </w:rPr>
              <w:t>(dollars in thousands)</w:t>
            </w:r>
          </w:p>
        </w:tc>
        <w:tc>
          <w:tcPr>
            <w:tcW w:w="301" w:type="dxa"/>
            <w:tcBorders/>
            <w:vAlign w:val="bottom"/>
          </w:tcPr>
          <w:p>
            <w:pPr>
              <w:pStyle w:val="TableContents"/>
              <w:bidi w:val="0"/>
              <w:spacing w:before="0" w:after="283"/>
              <w:jc w:val="left"/>
              <w:rPr/>
            </w:pPr>
            <w:r>
              <w:rPr/>
              <w:t> </w:t>
            </w:r>
          </w:p>
        </w:tc>
      </w:tr>
      <w:tr>
        <w:trPr/>
        <w:tc>
          <w:tcPr>
            <w:tcW w:w="5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4" w:type="dxa"/>
            <w:tcBorders/>
            <w:shd w:fill="CCEEFF" w:val="clear"/>
            <w:vAlign w:val="bottom"/>
          </w:tcPr>
          <w:p>
            <w:pPr>
              <w:pStyle w:val="TableContents"/>
              <w:bidi w:val="0"/>
              <w:spacing w:before="0" w:after="283"/>
              <w:jc w:val="right"/>
              <w:rPr/>
            </w:pPr>
            <w:r>
              <w:rPr/>
              <w:t>764</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3,309</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2,545</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333</w:t>
            </w:r>
          </w:p>
        </w:tc>
        <w:tc>
          <w:tcPr>
            <w:tcW w:w="30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Income tax provision increased $2.5 million, or 333%, for the year ended December 31, 2023 compared to the year ended December 31, 2022 due to an increase in U.S. taxable income related to an increase in revenue and capitalized research and development expenditures in accordance with Section 174 of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both"/>
        <w:rPr>
          <w:rFonts w:ascii="Times New Roman" w:hAnsi="Times New Roman"/>
          <w:sz w:val="20"/>
        </w:rPr>
      </w:pPr>
      <w:r>
        <w:rPr>
          <w:rFonts w:ascii="Times New Roman" w:hAnsi="Times New Roman"/>
          <w:sz w:val="20"/>
        </w:rPr>
        <w:t xml:space="preserve">We use certain non-GAAP financial measures to supplement the performance measures in our consolidated financial statements, which are presented in accordance with GAAP. These non-GAAP financial measures include non-GAAP operating (loss) income and non-GAAP net (loss) income. We use these non-GAAP financial measures for financial and operational decision-making and as a means to assist us in evaluating period-to-period comparisons. By excluding certain items that may not be indicative of our recurring core operating results, we believe that non-GAAP operating (loss) income and non-GAAP net (loss) income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Operating (Loss) Income </w:t>
      </w:r>
    </w:p>
    <w:p>
      <w:pPr>
        <w:pStyle w:val="TextBody"/>
        <w:bidi w:val="0"/>
        <w:spacing w:before="120" w:after="0"/>
        <w:jc w:val="both"/>
        <w:rPr>
          <w:rFonts w:ascii="Times New Roman" w:hAnsi="Times New Roman"/>
          <w:sz w:val="20"/>
        </w:rPr>
      </w:pPr>
      <w:r>
        <w:rPr>
          <w:rFonts w:ascii="Times New Roman" w:hAnsi="Times New Roman"/>
          <w:sz w:val="20"/>
        </w:rPr>
        <w:t xml:space="preserve">We define non-GAAP operating (loss) income as operating loss presented in accordance with GAAP, adjusted to exclude stock-based compensation expenses. We have presented non-GAAP operating (loss) income because we consider non-GAAP operating (loss) income to be a useful metric for investors and other users of our financial information in evaluating our operating performance because it excludes the impact of stock-based compensation, a non-cash charge that can vary from period to period for reasons that are unrelated to our core operating performance. This metric also provides investors and other users of our financial information with an additional tool to compare business performance across companies and periods, while eliminating the effects of items that may vary for different companies for reasons unrelated to core operating performance. </w:t>
      </w:r>
    </w:p>
    <w:p>
      <w:pPr>
        <w:pStyle w:val="TextBody"/>
        <w:bidi w:val="0"/>
        <w:spacing w:before="240" w:after="0"/>
        <w:jc w:val="both"/>
        <w:rPr>
          <w:rFonts w:ascii="Times New Roman" w:hAnsi="Times New Roman"/>
          <w:sz w:val="20"/>
        </w:rPr>
      </w:pPr>
      <w:r>
        <w:rPr>
          <w:rFonts w:ascii="Times New Roman" w:hAnsi="Times New Roman"/>
          <w:sz w:val="20"/>
        </w:rPr>
        <w:t xml:space="preserve">A reconciliation of our GAAP operating loss, the most directly comparable GAAP financial measure, to non-GAAP operating loss is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61"/>
        <w:gridCol w:w="191"/>
        <w:gridCol w:w="1059"/>
        <w:gridCol w:w="206"/>
        <w:gridCol w:w="491"/>
        <w:gridCol w:w="191"/>
        <w:gridCol w:w="1062"/>
        <w:gridCol w:w="159"/>
      </w:tblGrid>
      <w:tr>
        <w:trPr/>
        <w:tc>
          <w:tcPr>
            <w:tcW w:w="393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0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200"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operating loss</w:t>
            </w:r>
          </w:p>
        </w:tc>
        <w:tc>
          <w:tcPr>
            <w:tcW w:w="46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(60,194</w:t>
            </w:r>
          </w:p>
        </w:tc>
        <w:tc>
          <w:tcPr>
            <w:tcW w:w="20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(29,497</w:t>
            </w:r>
          </w:p>
        </w:tc>
        <w:tc>
          <w:tcPr>
            <w:tcW w:w="159"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30,235</w:t>
            </w:r>
          </w:p>
        </w:tc>
        <w:tc>
          <w:tcPr>
            <w:tcW w:w="20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10,679</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operating loss</w:t>
            </w:r>
          </w:p>
        </w:tc>
        <w:tc>
          <w:tcPr>
            <w:tcW w:w="46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(29,959</w:t>
            </w:r>
          </w:p>
        </w:tc>
        <w:tc>
          <w:tcPr>
            <w:tcW w:w="20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(18,818</w:t>
            </w:r>
          </w:p>
        </w:tc>
        <w:tc>
          <w:tcPr>
            <w:tcW w:w="159"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Non-GAAP Net (Loss) Income </w:t>
      </w:r>
    </w:p>
    <w:p>
      <w:pPr>
        <w:pStyle w:val="TextBody"/>
        <w:bidi w:val="0"/>
        <w:spacing w:before="120" w:after="0"/>
        <w:jc w:val="both"/>
        <w:rPr>
          <w:rFonts w:ascii="Times New Roman" w:hAnsi="Times New Roman"/>
          <w:sz w:val="20"/>
        </w:rPr>
      </w:pPr>
      <w:r>
        <w:rPr>
          <w:rFonts w:ascii="Times New Roman" w:hAnsi="Times New Roman"/>
          <w:sz w:val="20"/>
        </w:rPr>
        <w:t xml:space="preserve">We monitor non-GAAP net (loss) income for planning and performance measurement purposes. We define non-GAAP net (loss) income as net (loss) income reported on our consolidated statements of operations, excluding the impact of stock-based compensation expenses. We have presented non-GAAP net (loss) income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 Our calculation of non-GAAP net (loss) income does not currently include the tax effects of the stock-based compensation expense adjustment because such tax effects have not been material to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 reconciliation of our GAAP net loss, the most directly comparable GAAP financial measure, to our non-GAAP net loss is presented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61"/>
        <w:gridCol w:w="191"/>
        <w:gridCol w:w="1059"/>
        <w:gridCol w:w="206"/>
        <w:gridCol w:w="491"/>
        <w:gridCol w:w="191"/>
        <w:gridCol w:w="1062"/>
        <w:gridCol w:w="159"/>
      </w:tblGrid>
      <w:tr>
        <w:trPr/>
        <w:tc>
          <w:tcPr>
            <w:tcW w:w="3935"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0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3200" w:type="dxa"/>
            <w:gridSpan w:val="6"/>
            <w:tcBorders/>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loss</w:t>
            </w:r>
          </w:p>
        </w:tc>
        <w:tc>
          <w:tcPr>
            <w:tcW w:w="46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(58,345</w:t>
            </w:r>
          </w:p>
        </w:tc>
        <w:tc>
          <w:tcPr>
            <w:tcW w:w="20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(26,257</w:t>
            </w:r>
          </w:p>
        </w:tc>
        <w:tc>
          <w:tcPr>
            <w:tcW w:w="159"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expense(1)</w:t>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30,235</w:t>
            </w:r>
          </w:p>
        </w:tc>
        <w:tc>
          <w:tcPr>
            <w:tcW w:w="206"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10,679</w:t>
            </w:r>
          </w:p>
        </w:tc>
        <w:tc>
          <w:tcPr>
            <w:tcW w:w="159"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w:t>
            </w:r>
          </w:p>
        </w:tc>
        <w:tc>
          <w:tcPr>
            <w:tcW w:w="46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(28,110</w:t>
            </w:r>
          </w:p>
        </w:tc>
        <w:tc>
          <w:tcPr>
            <w:tcW w:w="20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(15,578</w:t>
            </w:r>
          </w:p>
        </w:tc>
        <w:tc>
          <w:tcPr>
            <w:tcW w:w="159"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6"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7044"/>
        <w:gridCol w:w="1327"/>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704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Non-GAAP net loss does not include the tax effects of the stock-based compensation expense adjustment because such tax effects were not material during the periods presented. </w:t>
            </w:r>
          </w:p>
        </w:tc>
        <w:tc>
          <w:tcPr>
            <w:tcW w:w="132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Customer Warrant </w:t>
      </w:r>
    </w:p>
    <w:p>
      <w:pPr>
        <w:pStyle w:val="TextBody"/>
        <w:bidi w:val="0"/>
        <w:spacing w:before="120" w:after="0"/>
        <w:jc w:val="both"/>
        <w:rPr>
          <w:rFonts w:ascii="Times New Roman" w:hAnsi="Times New Roman"/>
          <w:sz w:val="20"/>
        </w:rPr>
      </w:pPr>
      <w:r>
        <w:rPr>
          <w:rFonts w:ascii="Times New Roman" w:hAnsi="Times New Roman"/>
          <w:sz w:val="20"/>
        </w:rPr>
        <w:t xml:space="preserve">In October 2022, we issued a warrant to Amazon NV Investment Holdings LLC (Holder) to purchase an aggregate of up to 1,484,230 shares of common stock at an exercise price of $20.34 per share (the Customer Warrant). The exercise period of the Customer Warrant is through the seventh anniversary of the issue date. As of December 31, 2023, 232,608 shares underlying the Customer Warrant were vested. The remainder of the shares issuable may vest and become exercisable contingent upon the specified tranches of global payments related to the purchase of a certain amount of each of our Aries, Taurus, and Leo products, up to an aggregate of $400.0 million, by Holder, Amazon.com, Inc. and/or its affiliates (collectively, Amazon), or its authorized buyers. </w:t>
      </w:r>
    </w:p>
    <w:p>
      <w:pPr>
        <w:pStyle w:val="TextBody"/>
        <w:bidi w:val="0"/>
        <w:spacing w:before="240" w:after="0"/>
        <w:jc w:val="both"/>
        <w:rPr>
          <w:rFonts w:ascii="Times New Roman" w:hAnsi="Times New Roman"/>
          <w:sz w:val="20"/>
        </w:rPr>
      </w:pPr>
      <w:r>
        <w:rPr>
          <w:rFonts w:ascii="Times New Roman" w:hAnsi="Times New Roman"/>
          <w:sz w:val="20"/>
        </w:rPr>
        <w:t xml:space="preserve">In October 2023, we amended the warrant agreement and issued an additional warrant to purchase an aggregate of up to 831,945 shares of common stock at an exercise price of $20.34 per share (the 2023 Warrant) with the same exercise period as the Customer Warrant originally issued. The shares issuable under the 2023 Warrant vest and become exercisable based upon the specified tranches of global payments of a future product development initiative, up to an additional $250.0 million in aggregate global payments. As of December 31, 2023, no shares underlying the 2023 Warrant were vested. </w:t>
      </w:r>
    </w:p>
    <w:p>
      <w:pPr>
        <w:pStyle w:val="TextBody"/>
        <w:bidi w:val="0"/>
        <w:spacing w:before="240" w:after="0"/>
        <w:jc w:val="both"/>
        <w:rPr>
          <w:rFonts w:ascii="Times New Roman" w:hAnsi="Times New Roman"/>
          <w:sz w:val="20"/>
        </w:rPr>
      </w:pPr>
      <w:r>
        <w:rPr>
          <w:rFonts w:ascii="Times New Roman" w:hAnsi="Times New Roman"/>
          <w:sz w:val="20"/>
        </w:rPr>
        <w:t xml:space="preserve">The Customer Warrant and the 2023 Warrant are subject to performance-based vesting conditions and are accounted for as consideration payable to a customer as we did not receive a distinct good or service in exchange for the warrants. When we determine whether and which of the performance-based vesting conditions (the specified tranches of global payments) underlying the warrants are probable of being achieved, we recognize the associated grant date fair value of the warrants as a reduction of revenue for each sales transaction in proportion to total expected cumulative sales volume resulting in achievement of the vesting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Quarterly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selected unaudited quarterly consolidated statements of operations data for each of the eight quarters ended December 31, 2023. The information for each of these quarters has been prepared on the same basis as our audited consolidated financial statements and reflect, in the opinion of management, all adjustments, consisting of normal, recurring adjustments that are necessary for a fair statement of this information. These quarterly operating results are not necessarily indicative of the results that may be expected for a full year or any other fiscal period. This information should be read in conjunction with our audited consolidated financial statements and related notes included elsewhere in the prospectus. </w:t>
      </w:r>
    </w:p>
    <w:p>
      <w:pPr>
        <w:pStyle w:val="TextBody"/>
        <w:bidi w:val="0"/>
        <w:spacing w:before="0" w:after="0"/>
        <w:jc w:val="left"/>
        <w:rPr/>
      </w:pPr>
      <w:r>
        <w:rPr/>
        <w:t> </w:t>
      </w:r>
    </w:p>
    <w:tbl>
      <w:tblPr>
        <w:tblW w:w="10265" w:type="dxa"/>
        <w:jc w:val="center"/>
        <w:tblInd w:w="0" w:type="dxa"/>
        <w:tblLayout w:type="fixed"/>
        <w:tblCellMar>
          <w:top w:w="0" w:type="dxa"/>
          <w:left w:w="0" w:type="dxa"/>
          <w:bottom w:w="0" w:type="dxa"/>
          <w:right w:w="0" w:type="dxa"/>
        </w:tblCellMar>
      </w:tblPr>
      <w:tblGrid>
        <w:gridCol w:w="1250"/>
        <w:gridCol w:w="60"/>
        <w:gridCol w:w="182"/>
        <w:gridCol w:w="888"/>
        <w:gridCol w:w="155"/>
        <w:gridCol w:w="60"/>
        <w:gridCol w:w="140"/>
        <w:gridCol w:w="755"/>
        <w:gridCol w:w="155"/>
        <w:gridCol w:w="60"/>
        <w:gridCol w:w="140"/>
        <w:gridCol w:w="680"/>
        <w:gridCol w:w="155"/>
        <w:gridCol w:w="60"/>
        <w:gridCol w:w="140"/>
        <w:gridCol w:w="755"/>
        <w:gridCol w:w="155"/>
        <w:gridCol w:w="60"/>
        <w:gridCol w:w="167"/>
        <w:gridCol w:w="903"/>
        <w:gridCol w:w="155"/>
        <w:gridCol w:w="60"/>
        <w:gridCol w:w="140"/>
        <w:gridCol w:w="755"/>
        <w:gridCol w:w="155"/>
        <w:gridCol w:w="60"/>
        <w:gridCol w:w="140"/>
        <w:gridCol w:w="680"/>
        <w:gridCol w:w="155"/>
        <w:gridCol w:w="60"/>
        <w:gridCol w:w="141"/>
        <w:gridCol w:w="689"/>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 xml:space="preserve">Three Months Ended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Dec. 31,</w:t>
            </w:r>
            <w:r>
              <w:rPr/>
              <w:br/>
            </w:r>
            <w:r>
              <w:rPr>
                <w:b/>
              </w:rPr>
              <w:t>2023</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5" w:type="dxa"/>
            <w:gridSpan w:val="26"/>
            <w:tcBorders/>
            <w:vAlign w:val="bottom"/>
          </w:tcPr>
          <w:p>
            <w:pPr>
              <w:pStyle w:val="TableContents"/>
              <w:bidi w:val="0"/>
              <w:spacing w:before="0" w:after="283"/>
              <w:jc w:val="center"/>
              <w:rPr>
                <w:b/>
              </w:rPr>
            </w:pPr>
            <w:r>
              <w:rPr>
                <w:b/>
              </w:rPr>
              <w:t>(in thousands)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15,018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21,396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23,103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20,355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17,664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10,688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36,928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50,514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4,208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5,359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13,406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8,823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11,489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16,037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17,197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14,637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4,258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28,105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39,025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development(1)</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27,765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15,267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17,860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20,626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19,654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marketing(1)</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10,962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5,050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4,393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5,097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5,507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4,995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administrative(1)</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2,681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3,660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3,525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5,356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14,995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44,109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23,296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36,475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23,185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26,052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30,082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30,005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(4,185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(28,072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(6,099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(21,838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(18,927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(17,613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9,020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1,596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1,674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(4,185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(5,198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(20,341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(17,331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10,694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(3,631</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(5,572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(27,334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(5,342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(20,097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(17,454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(20,004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(3,124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14,325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stock-based compensation expense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6"/>
        <w:gridCol w:w="87"/>
        <w:gridCol w:w="216"/>
        <w:gridCol w:w="864"/>
        <w:gridCol w:w="60"/>
        <w:gridCol w:w="87"/>
        <w:gridCol w:w="149"/>
        <w:gridCol w:w="726"/>
        <w:gridCol w:w="60"/>
        <w:gridCol w:w="87"/>
        <w:gridCol w:w="163"/>
        <w:gridCol w:w="657"/>
        <w:gridCol w:w="60"/>
        <w:gridCol w:w="86"/>
        <w:gridCol w:w="166"/>
        <w:gridCol w:w="668"/>
        <w:gridCol w:w="60"/>
        <w:gridCol w:w="87"/>
        <w:gridCol w:w="216"/>
        <w:gridCol w:w="864"/>
        <w:gridCol w:w="60"/>
        <w:gridCol w:w="87"/>
        <w:gridCol w:w="175"/>
        <w:gridCol w:w="702"/>
        <w:gridCol w:w="60"/>
        <w:gridCol w:w="87"/>
        <w:gridCol w:w="163"/>
        <w:gridCol w:w="657"/>
        <w:gridCol w:w="59"/>
        <w:gridCol w:w="87"/>
        <w:gridCol w:w="166"/>
        <w:gridCol w:w="668"/>
        <w:gridCol w:w="75"/>
      </w:tblGrid>
      <w:tr>
        <w:trPr/>
        <w:tc>
          <w:tcPr>
            <w:tcW w:w="179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247"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75" w:type="dxa"/>
            <w:tcBorders/>
            <w:vAlign w:val="bottom"/>
          </w:tcPr>
          <w:p>
            <w:pPr>
              <w:pStyle w:val="TableContents"/>
              <w:bidi w:val="0"/>
              <w:spacing w:before="0" w:after="283"/>
              <w:jc w:val="left"/>
              <w:rPr/>
            </w:pPr>
            <w:r>
              <w:rPr/>
              <w:t> </w:t>
            </w:r>
          </w:p>
        </w:tc>
      </w:tr>
      <w:tr>
        <w:trPr/>
        <w:tc>
          <w:tcPr>
            <w:tcW w:w="179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2022</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2022</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2022</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2023</w:t>
            </w:r>
          </w:p>
        </w:tc>
        <w:tc>
          <w:tcPr>
            <w:tcW w:w="5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2023</w:t>
            </w:r>
          </w:p>
        </w:tc>
        <w:tc>
          <w:tcPr>
            <w:tcW w:w="75" w:type="dxa"/>
            <w:tcBorders/>
            <w:vAlign w:val="bottom"/>
          </w:tcPr>
          <w:p>
            <w:pPr>
              <w:pStyle w:val="TableContents"/>
              <w:bidi w:val="0"/>
              <w:spacing w:before="0" w:after="283"/>
              <w:jc w:val="left"/>
              <w:rPr/>
            </w:pPr>
            <w:r>
              <w:rPr/>
              <w:t> </w:t>
            </w:r>
          </w:p>
        </w:tc>
      </w:tr>
      <w:tr>
        <w:trPr/>
        <w:tc>
          <w:tcPr>
            <w:tcW w:w="179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267" w:type="dxa"/>
            <w:gridSpan w:val="26"/>
            <w:tcBorders/>
            <w:vAlign w:val="bottom"/>
          </w:tcPr>
          <w:p>
            <w:pPr>
              <w:pStyle w:val="TableContents"/>
              <w:bidi w:val="0"/>
              <w:spacing w:before="0" w:after="283"/>
              <w:jc w:val="center"/>
              <w:rPr>
                <w:b/>
              </w:rPr>
            </w:pPr>
            <w:r>
              <w:rPr>
                <w:b/>
              </w:rPr>
              <w:t>(in thousands)</w:t>
            </w:r>
          </w:p>
        </w:tc>
        <w:tc>
          <w:tcPr>
            <w:tcW w:w="5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83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9</w:t>
            </w:r>
          </w:p>
        </w:tc>
        <w:tc>
          <w:tcPr>
            <w:tcW w:w="5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8</w:t>
            </w:r>
          </w:p>
        </w:tc>
        <w:tc>
          <w:tcPr>
            <w:tcW w:w="75" w:type="dxa"/>
            <w:tcBorders/>
            <w:shd w:fill="CCEEFF" w:val="clear"/>
            <w:vAlign w:val="bottom"/>
          </w:tcPr>
          <w:p>
            <w:pPr>
              <w:pStyle w:val="TableContents"/>
              <w:bidi w:val="0"/>
              <w:spacing w:before="0" w:after="283"/>
              <w:jc w:val="left"/>
              <w:rPr/>
            </w:pPr>
            <w:r>
              <w:rPr/>
              <w:t> </w:t>
            </w:r>
          </w:p>
        </w:tc>
      </w:tr>
      <w:tr>
        <w:trPr/>
        <w:tc>
          <w:tcPr>
            <w:tcW w:w="179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1,836</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5,779</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1,857</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1,751</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1,679</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1,672</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1,706</w:t>
            </w:r>
          </w:p>
        </w:tc>
        <w:tc>
          <w:tcPr>
            <w:tcW w:w="5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2,303</w:t>
            </w:r>
          </w:p>
        </w:tc>
        <w:tc>
          <w:tcPr>
            <w:tcW w:w="75" w:type="dxa"/>
            <w:tcBorders/>
            <w:vAlign w:val="bottom"/>
          </w:tcPr>
          <w:p>
            <w:pPr>
              <w:pStyle w:val="TableContents"/>
              <w:bidi w:val="0"/>
              <w:spacing w:before="0" w:after="283"/>
              <w:jc w:val="left"/>
              <w:rPr/>
            </w:pPr>
            <w:r>
              <w:rPr/>
              <w:t> </w:t>
            </w:r>
          </w:p>
        </w:tc>
      </w:tr>
      <w:tr>
        <w:trPr/>
        <w:tc>
          <w:tcPr>
            <w:tcW w:w="1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619</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7,450</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1,089</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691</w:t>
            </w:r>
          </w:p>
        </w:tc>
        <w:tc>
          <w:tcPr>
            <w:tcW w:w="5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681</w:t>
            </w:r>
          </w:p>
        </w:tc>
        <w:tc>
          <w:tcPr>
            <w:tcW w:w="75" w:type="dxa"/>
            <w:tcBorders/>
            <w:shd w:fill="CCEEFF" w:val="clear"/>
            <w:vAlign w:val="bottom"/>
          </w:tcPr>
          <w:p>
            <w:pPr>
              <w:pStyle w:val="TableContents"/>
              <w:bidi w:val="0"/>
              <w:spacing w:before="0" w:after="283"/>
              <w:jc w:val="left"/>
              <w:rPr/>
            </w:pPr>
            <w:r>
              <w:rPr/>
              <w:t> </w:t>
            </w:r>
          </w:p>
        </w:tc>
      </w:tr>
      <w:tr>
        <w:trPr/>
        <w:tc>
          <w:tcPr>
            <w:tcW w:w="179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198</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8,006</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341</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309</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304</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305</w:t>
            </w:r>
          </w:p>
        </w:tc>
        <w:tc>
          <w:tcPr>
            <w:tcW w:w="5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307</w:t>
            </w:r>
          </w:p>
        </w:tc>
        <w:tc>
          <w:tcPr>
            <w:tcW w:w="75" w:type="dxa"/>
            <w:tcBorders/>
            <w:vAlign w:val="bottom"/>
          </w:tcPr>
          <w:p>
            <w:pPr>
              <w:pStyle w:val="TableContents"/>
              <w:bidi w:val="0"/>
              <w:spacing w:before="0" w:after="283"/>
              <w:jc w:val="left"/>
              <w:rPr/>
            </w:pPr>
            <w:r>
              <w:rPr/>
              <w:t> </w:t>
            </w:r>
          </w:p>
        </w:tc>
      </w:tr>
      <w:tr>
        <w:trPr/>
        <w:tc>
          <w:tcPr>
            <w:tcW w:w="1796"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2,657</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21,237</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3,290</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3,051</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1,997</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pPr>
            <w:r>
              <w:rPr/>
              <w:t>2,672</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657" w:type="dxa"/>
            <w:tcBorders/>
            <w:shd w:fill="CCEEFF" w:val="clear"/>
            <w:vAlign w:val="bottom"/>
          </w:tcPr>
          <w:p>
            <w:pPr>
              <w:pStyle w:val="TableContents"/>
              <w:bidi w:val="0"/>
              <w:spacing w:before="0" w:after="283"/>
              <w:jc w:val="right"/>
              <w:rPr/>
            </w:pPr>
            <w:r>
              <w:rPr/>
              <w:t>2,711</w:t>
            </w:r>
          </w:p>
        </w:tc>
        <w:tc>
          <w:tcPr>
            <w:tcW w:w="5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3,299</w:t>
            </w:r>
          </w:p>
        </w:tc>
        <w:tc>
          <w:tcPr>
            <w:tcW w:w="75" w:type="dxa"/>
            <w:tcBorders/>
            <w:shd w:fill="CCEEFF" w:val="clear"/>
            <w:vAlign w:val="bottom"/>
          </w:tcPr>
          <w:p>
            <w:pPr>
              <w:pStyle w:val="TableContents"/>
              <w:bidi w:val="0"/>
              <w:spacing w:before="0" w:after="283"/>
              <w:jc w:val="left"/>
              <w:rPr/>
            </w:pPr>
            <w:r>
              <w:rPr/>
              <w:t> </w:t>
            </w:r>
          </w:p>
        </w:tc>
      </w:tr>
      <w:tr>
        <w:trPr/>
        <w:tc>
          <w:tcPr>
            <w:tcW w:w="1796"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65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Stock-based compensation expense for the year ended December 31, 2022, includes $17.7 million related to secondary transactions for the quarter ended June 30, 2022. See Note 9 of the Notes to Consolidated Financial Statements included elsewhere in this prospectus for additional details on the secondary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our quarterly results of operations as a percentage of revenue for each of the periods presented: </w:t>
      </w:r>
    </w:p>
    <w:tbl>
      <w:tblPr>
        <w:tblW w:w="11395" w:type="dxa"/>
        <w:jc w:val="center"/>
        <w:tblInd w:w="0" w:type="dxa"/>
        <w:tblLayout w:type="fixed"/>
        <w:tblCellMar>
          <w:top w:w="0" w:type="dxa"/>
          <w:left w:w="0" w:type="dxa"/>
          <w:bottom w:w="0" w:type="dxa"/>
          <w:right w:w="0" w:type="dxa"/>
        </w:tblCellMar>
      </w:tblPr>
      <w:tblGrid>
        <w:gridCol w:w="1010"/>
        <w:gridCol w:w="60"/>
        <w:gridCol w:w="145"/>
        <w:gridCol w:w="925"/>
        <w:gridCol w:w="350"/>
        <w:gridCol w:w="60"/>
        <w:gridCol w:w="101"/>
        <w:gridCol w:w="774"/>
        <w:gridCol w:w="350"/>
        <w:gridCol w:w="60"/>
        <w:gridCol w:w="111"/>
        <w:gridCol w:w="704"/>
        <w:gridCol w:w="350"/>
        <w:gridCol w:w="60"/>
        <w:gridCol w:w="96"/>
        <w:gridCol w:w="734"/>
        <w:gridCol w:w="350"/>
        <w:gridCol w:w="60"/>
        <w:gridCol w:w="124"/>
        <w:gridCol w:w="946"/>
        <w:gridCol w:w="350"/>
        <w:gridCol w:w="60"/>
        <w:gridCol w:w="101"/>
        <w:gridCol w:w="774"/>
        <w:gridCol w:w="350"/>
        <w:gridCol w:w="60"/>
        <w:gridCol w:w="111"/>
        <w:gridCol w:w="704"/>
        <w:gridCol w:w="350"/>
        <w:gridCol w:w="60"/>
        <w:gridCol w:w="113"/>
        <w:gridCol w:w="717"/>
        <w:gridCol w:w="27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 30,</w:t>
              <w:br/>
              <w:t>2023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 31,</w:t>
              <w:br/>
              <w:t>2023</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50" w:type="dxa"/>
            <w:gridSpan w:val="30"/>
            <w:tcBorders/>
            <w:vAlign w:val="bottom"/>
          </w:tcPr>
          <w:p>
            <w:pPr>
              <w:pStyle w:val="TableContents"/>
              <w:bidi w:val="0"/>
              <w:spacing w:before="0" w:after="283"/>
              <w:jc w:val="center"/>
              <w:rPr>
                <w:b/>
              </w:rPr>
            </w:pPr>
            <w:r>
              <w:rPr>
                <w:b/>
              </w:rPr>
              <w:t>(as a percentage of revenue)(1)</w:t>
            </w:r>
          </w:p>
        </w:tc>
        <w:tc>
          <w:tcPr>
            <w:tcW w:w="27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Cost of revenue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76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23</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Gross profit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72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75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74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72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79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76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77</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Operating expenses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73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Research and development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105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62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136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86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167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Sales and marketing</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51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48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General and administrative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50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29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Total operating expenses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206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101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179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131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244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81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(loss) income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(107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(107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(165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Interest income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(130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(98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(150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provision (benefit)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37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(37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(128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(99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(99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(187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Totals of percentage of revenue may not sum due to rounding.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Quarterly Trends </w:t>
      </w:r>
    </w:p>
    <w:p>
      <w:pPr>
        <w:pStyle w:val="TextBody"/>
        <w:bidi w:val="0"/>
        <w:spacing w:before="24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Our quarterly revenue increased sequentially through the third quarter of 2022, decreased sequentially in the fourth quarter of 2022 through the second quarter of 2023, and increased in the third quarter and fourth quarters of 2023. The increase in revenue through the third quarter of 2022 was driven primarily by increases in total product sales from both expansion within our existing customer base and sales to new customers. Starting in the fourth quarter of 2022, we experienced sequential decreases in revenue largely due to excess inventory accumulated across many of our customers supply chains. In 2021 and first half of 2022, the overall semiconductor industry experienced a shortage of supply and extended delivery times. As a result of this supply shortage, many of our customers accumulated higher levels of inventory than normal in order to help minimize potential negative impacts from supply shortages. In the second half of 2022, the industry supply shortages started to improve, and in response, some of our customers significantly decreased their ordering levels to lower their inventory balances resulting in lower product sales revenue in the fourth quarter of 2022 through the second quarter of 2023. The increase in the third and fourth quarters of 2023 was driven primarily by an increase in product shipments.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and Gross Profit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generally increased consistent with the increase in revenue through the third quarter of 2022, and then decreased consistent with the decrease in revenue in the fourth quarter of 2022. In the first quarter of 2023, the large increase in cost of revenue was driven by a $9.7 million write down of inventory in excess of our sales forecast for a legacy customer system. In the second quarter of 2023, cost of revenue continued to decrease consistent with the decrease in revenue. In the third and fourth quarters of 2023, cost of revenue increased consistent with the increase in revenue and revenue mix. Our cost of revenue as a percentage of revenue will vary based on product mix in a given period. </w:t>
      </w:r>
    </w:p>
    <w:p>
      <w:pPr>
        <w:pStyle w:val="TextBody"/>
        <w:bidi w:val="0"/>
        <w:spacing w:before="240" w:after="0"/>
        <w:jc w:val="both"/>
        <w:rPr>
          <w:rFonts w:ascii="Times New Roman" w:hAnsi="Times New Roman"/>
          <w:sz w:val="20"/>
        </w:rPr>
      </w:pPr>
      <w:r>
        <w:rPr>
          <w:rFonts w:ascii="Times New Roman" w:hAnsi="Times New Roman"/>
          <w:sz w:val="20"/>
        </w:rPr>
        <w:t xml:space="preserve">Our gross margin fluctuated on a quarterly basis in each of the quarters in 2022 largely due to changes in the revenue mix from quarter to quarter and the fluctuation in revenue earned and cost of revenue incurred,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discussed above. In the first quarter of 2023, the large decrease in gross margins was driven by a write down of inventory in excess of our sales forecast for a legacy customer system. Beginning in the second quarter of 2023, gross margins returned to more normalized levels. Our products have different gross margin profiles, which are mainly dependent on their form factor. Accordingly, we expect our gross margins to decline in future periods as we expect our product mix of modules to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Our operating expenses fluctuated on a quarterly basis primarily due to the timing of research and development activities and stock-based compensation related to secondary sales. </w:t>
      </w:r>
    </w:p>
    <w:p>
      <w:pPr>
        <w:pStyle w:val="TextBody"/>
        <w:bidi w:val="0"/>
        <w:spacing w:before="240" w:after="0"/>
        <w:jc w:val="both"/>
        <w:rPr>
          <w:rFonts w:ascii="Times New Roman" w:hAnsi="Times New Roman"/>
          <w:sz w:val="20"/>
        </w:rPr>
      </w:pPr>
      <w:r>
        <w:rPr>
          <w:rFonts w:ascii="Times New Roman" w:hAnsi="Times New Roman"/>
          <w:sz w:val="20"/>
        </w:rPr>
        <w:t xml:space="preserve">Our research and development expenses increased sequentially for all periods presented, except for the third quarter of 2022 and the first and fourth quarters of 2023. For all quarters presented, employee costs such as salaries, benefits, and bonuses increased sequentially due to increases in headcount. In addition, the increase in research and development expenses in the second quarter of 2022 and corresponding decrease in the third quarter of 2022 was due to $3.9 million of higher stock-based compensation expense related to secondary sales in the second quarter of 2022. The increase in the fourth quarter of 2022 and corresponding decrease in the first quarter of 2023 was due to higher pre-production engineering mask and software license costs in the fourth quarter of 2022. The decrease in the fourth quarter of 2023 was primarily due to a decrease in pre-production engineering mask costs, partially offset by an increase in software license costs and stock-based compensation expense from secondary sales transactions. For further details on the secondary transactions, see Note 9 to our consolidated financial statements included elsewhere in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Our sales and marketing expenses increased in the second quarter of 2022, decreased in the third and fourth quarters of 2022 and in the first quarter of 2023 and increased in the second quarter of 2023. The increase in the second quarter of 2022 and corresponding decrease in the third quarter of 2022 was due primarily to $6.4 million of higher stock-based compensation expense related to secondary sales in the second quarter of 2022. The decrease in the first quarter of 2023 and corresponding increase in the second quarter of 2023 was due to lower stock-based compensation expense recognized in the first quarter of 2023 due to forfeitures of stock options, which reduced expenses in the first quarter of 2023. The fourth quarter of 2022 and the second quarter of 2023 did not have significant forfeiture of stock options. The increase in the third quarter of 2023 was due primarily to higher salary expense due to increased headcount, additional bonus accrual to align with forecasted performance, and severance payments. The decrease in the fourth quarter of 2023 was primarily due to lower bonus accrual to align with our performance and no severance payments. </w:t>
      </w:r>
    </w:p>
    <w:p>
      <w:pPr>
        <w:pStyle w:val="TextBody"/>
        <w:bidi w:val="0"/>
        <w:spacing w:before="240" w:after="0"/>
        <w:jc w:val="both"/>
        <w:rPr>
          <w:rFonts w:ascii="Times New Roman" w:hAnsi="Times New Roman"/>
          <w:sz w:val="20"/>
        </w:rPr>
      </w:pPr>
      <w:r>
        <w:rPr>
          <w:rFonts w:ascii="Times New Roman" w:hAnsi="Times New Roman"/>
          <w:sz w:val="20"/>
        </w:rPr>
        <w:t xml:space="preserve">Our general and administrative expenses increased in the second quarter of 2022 and decreased in each subsequent quarter in 2022 and the first half of 2023. The increase in the second quarter of 2022 and the corresponding decrease in the third quarter of 2022 was due primarily to $7.8 million of higher stock-based compensation expense related to secondary stock sales transactions in the second quarter of 2022. The decrease in the fourth quarter of 2022 was primarily related to lower employee costs such as salaries, benefits, and bonuses due to lower headcount. The decrease in the first quarter of 2023 was primarily related to general office related expenses. The decrease in the second quarter of 2023 was primarily related to lower professional services fees. The increases in the third and fourth quarters of 2023 was primarily related to higher personnel-related expenses as a result of increased headcount and higher professional services spending. </w:t>
      </w:r>
    </w:p>
    <w:p>
      <w:pPr>
        <w:pStyle w:val="TextBody"/>
        <w:bidi w:val="0"/>
        <w:spacing w:before="240" w:after="0"/>
        <w:jc w:val="both"/>
        <w:rPr>
          <w:rFonts w:ascii="Times New Roman" w:hAnsi="Times New Roman"/>
          <w:sz w:val="20"/>
        </w:rPr>
      </w:pPr>
      <w:r>
        <w:rPr>
          <w:rFonts w:ascii="Times New Roman" w:hAnsi="Times New Roman"/>
          <w:sz w:val="20"/>
        </w:rPr>
        <w:t xml:space="preserve">Our operating expenses are expected to increase in future periods, partly due to the vesting of RSUs, for which the liquidity event condition will be satisfied upon completion of this offering, and the granting of new RSUs to attract and retain our employees. Additionally, our operating expenses as a percentage of revenue were favorably impacted by the larger increase in fourth quarter of 2023 revenue relative to our operating expenses. We expect to grow our operating expenses significantly in future periods to support our growth and develop new product families. As a result, our operating expenses are expected to increase at a faster rate than our revenue in future periods, which would result in a decrease in our operating margins.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Provision </w:t>
      </w:r>
    </w:p>
    <w:p>
      <w:pPr>
        <w:pStyle w:val="TextBody"/>
        <w:bidi w:val="0"/>
        <w:spacing w:before="120" w:after="0"/>
        <w:jc w:val="both"/>
        <w:rPr>
          <w:rFonts w:ascii="Times New Roman" w:hAnsi="Times New Roman"/>
          <w:sz w:val="20"/>
        </w:rPr>
      </w:pPr>
      <w:r>
        <w:rPr>
          <w:rFonts w:ascii="Times New Roman" w:hAnsi="Times New Roman"/>
          <w:sz w:val="20"/>
        </w:rPr>
        <w:t xml:space="preserve">Our income tax provision is calculated by applying our estimated full-year effective tax rate to year-to-date taxable income or loss. The quarterly fluctuations in our income tax provision are due primarily to changes in our year-to-date taxable income or loss as well as changes in our quarterly estimates of our full-year effective tax rate. The quarterly effective income tax rate differs from the statutory rate in 2022 and 2023 primarily due to nondeductible stock-based compensation and the change in the valuation allowance. </w:t>
      </w:r>
    </w:p>
    <w:p>
      <w:pPr>
        <w:pStyle w:val="TextBody"/>
        <w:bidi w:val="0"/>
        <w:spacing w:before="240" w:after="0"/>
        <w:jc w:val="both"/>
        <w:rPr>
          <w:rFonts w:ascii="Times New Roman" w:hAnsi="Times New Roman"/>
          <w:sz w:val="20"/>
        </w:rPr>
      </w:pPr>
      <w:r>
        <w:rPr>
          <w:rFonts w:ascii="Times New Roman" w:hAnsi="Times New Roman"/>
          <w:sz w:val="20"/>
        </w:rPr>
        <w:t xml:space="preserve">The TCJA requires taxpayers to capitalize and amortize research and development expenditures under Internal Revenue Code Section 174 for tax years beginning after December 31, 2021. The rule became effective for us during the year ended December 31, 2022 and resulted in the capitalization of research and development costs which was offset by a valuation allowance. We will amortize these costs for tax purposes over 5 years for research and development performed in the U.S., and over 15 years for research and development performed outside of the U.S. The effect of the TCJA has resulted in us reporting taxable income in 2022 and 2023 despite incurring a pre-tax loss. </w:t>
      </w:r>
    </w:p>
    <w:p>
      <w:pPr>
        <w:pStyle w:val="TextBody"/>
        <w:bidi w:val="0"/>
        <w:spacing w:before="360" w:after="0"/>
        <w:jc w:val="left"/>
        <w:rPr>
          <w:rFonts w:ascii="Times New Roman" w:hAnsi="Times New Roman"/>
          <w:b/>
          <w:sz w:val="20"/>
        </w:rPr>
      </w:pPr>
      <w:r>
        <w:rPr>
          <w:rFonts w:ascii="Times New Roman" w:hAnsi="Times New Roman"/>
          <w:b/>
          <w:sz w:val="20"/>
        </w:rPr>
        <w:t xml:space="preserve">Quarterly Trends in Non-GAAP Financial Measures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Non-GAAP Operating (Loss) Income and Non-GAAP Net (Loss) Income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our non-GAAP operating (loss) income and non-GAAP net (loss) income, non-GAAP financial measure for each of the periods presented. See the section titled Non-GAAP Financial Measures for the details of how we calculate non-GAAP net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9"/>
        <w:gridCol w:w="63"/>
        <w:gridCol w:w="193"/>
        <w:gridCol w:w="879"/>
        <w:gridCol w:w="155"/>
        <w:gridCol w:w="63"/>
        <w:gridCol w:w="140"/>
        <w:gridCol w:w="755"/>
        <w:gridCol w:w="155"/>
        <w:gridCol w:w="63"/>
        <w:gridCol w:w="140"/>
        <w:gridCol w:w="638"/>
        <w:gridCol w:w="155"/>
        <w:gridCol w:w="63"/>
        <w:gridCol w:w="140"/>
        <w:gridCol w:w="755"/>
        <w:gridCol w:w="154"/>
        <w:gridCol w:w="63"/>
        <w:gridCol w:w="167"/>
        <w:gridCol w:w="904"/>
        <w:gridCol w:w="155"/>
        <w:gridCol w:w="63"/>
        <w:gridCol w:w="140"/>
        <w:gridCol w:w="755"/>
        <w:gridCol w:w="155"/>
        <w:gridCol w:w="63"/>
        <w:gridCol w:w="140"/>
        <w:gridCol w:w="638"/>
        <w:gridCol w:w="155"/>
        <w:gridCol w:w="63"/>
        <w:gridCol w:w="141"/>
        <w:gridCol w:w="691"/>
        <w:gridCol w:w="72"/>
      </w:tblGrid>
      <w:tr>
        <w:trPr/>
        <w:tc>
          <w:tcPr>
            <w:tcW w:w="1329"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41"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b/>
              </w:rPr>
              <w:t>Sep. 30,</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Dec. 31,</w:t>
            </w:r>
            <w:r>
              <w:rPr/>
              <w:br/>
            </w:r>
            <w:r>
              <w:rPr>
                <w:b/>
              </w:rPr>
              <w:t>2022</w:t>
            </w:r>
          </w:p>
        </w:tc>
        <w:tc>
          <w:tcPr>
            <w:tcW w:w="15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b/>
              </w:rPr>
              <w:t>Sep. 30,</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pPr>
            <w:r>
              <w:rPr>
                <w:b/>
              </w:rPr>
              <w:t>Dec. 31,</w:t>
            </w:r>
            <w:r>
              <w:rPr/>
              <w:br/>
            </w:r>
            <w:r>
              <w:rPr>
                <w:b/>
              </w:rPr>
              <w:t>2023</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41" w:type="dxa"/>
            <w:gridSpan w:val="30"/>
            <w:tcBorders/>
            <w:vAlign w:val="bottom"/>
          </w:tcPr>
          <w:p>
            <w:pPr>
              <w:pStyle w:val="TableContents"/>
              <w:bidi w:val="0"/>
              <w:spacing w:before="0" w:after="283"/>
              <w:jc w:val="center"/>
              <w:rPr>
                <w:b/>
              </w:rPr>
            </w:pPr>
            <w:r>
              <w:rPr>
                <w:b/>
              </w:rPr>
              <w:t>(in thousands)</w:t>
            </w:r>
          </w:p>
        </w:tc>
        <w:tc>
          <w:tcPr>
            <w:tcW w:w="72" w:type="dxa"/>
            <w:tcBorders/>
            <w:vAlign w:val="bottom"/>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operating (loss) income</w:t>
            </w:r>
          </w:p>
        </w:tc>
        <w:tc>
          <w:tcPr>
            <w:tcW w:w="6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(4,185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(28,072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(6,099</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(21,838</w:t>
            </w:r>
          </w:p>
        </w:tc>
        <w:tc>
          <w:tcPr>
            <w:tcW w:w="15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(18,927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(17,613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(1,977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9,020</w:t>
            </w:r>
          </w:p>
        </w:tc>
        <w:tc>
          <w:tcPr>
            <w:tcW w:w="72" w:type="dxa"/>
            <w:tcBorders/>
            <w:shd w:fill="CCEEFF" w:val="clear"/>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2,657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21,237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3,290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3,051</w:t>
            </w:r>
          </w:p>
        </w:tc>
        <w:tc>
          <w:tcPr>
            <w:tcW w:w="15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1,997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2,672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2,711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3,299</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operating (loss) income</w:t>
            </w:r>
          </w:p>
        </w:tc>
        <w:tc>
          <w:tcPr>
            <w:tcW w:w="6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(1,528</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(6,835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(2,809</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(18,787</w:t>
            </w:r>
          </w:p>
        </w:tc>
        <w:tc>
          <w:tcPr>
            <w:tcW w:w="15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(16,930</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(14,941</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12,319</w:t>
            </w:r>
          </w:p>
        </w:tc>
        <w:tc>
          <w:tcPr>
            <w:tcW w:w="72" w:type="dxa"/>
            <w:tcBorders/>
            <w:shd w:fill="CCEEFF" w:val="clear"/>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rHeight w:val="240" w:hRule="atLeast"/>
        </w:trPr>
        <w:tc>
          <w:tcPr>
            <w:tcW w:w="1329" w:type="dxa"/>
            <w:tcBorders/>
            <w:vAlign w:val="center"/>
          </w:tcPr>
          <w:p>
            <w:pPr>
              <w:pStyle w:val="TableContents"/>
              <w:bidi w:val="0"/>
              <w:spacing w:before="0" w:after="283"/>
              <w:jc w:val="left"/>
              <w:rPr>
                <w:sz w:val="4"/>
                <w:szCs w:val="4"/>
              </w:rPr>
            </w:pPr>
            <w:r>
              <w:rPr>
                <w:sz w:val="4"/>
                <w:szCs w:val="4"/>
              </w:rPr>
            </w:r>
          </w:p>
        </w:tc>
        <w:tc>
          <w:tcPr>
            <w:tcW w:w="8876" w:type="dxa"/>
            <w:gridSpan w:val="32"/>
            <w:tcBorders/>
            <w:vAlign w:val="center"/>
          </w:tcPr>
          <w:p>
            <w:pPr>
              <w:pStyle w:val="TableContents"/>
              <w:bidi w:val="0"/>
              <w:spacing w:before="0" w:after="283"/>
              <w:jc w:val="left"/>
              <w:rPr>
                <w:sz w:val="4"/>
                <w:szCs w:val="4"/>
              </w:rPr>
            </w:pPr>
            <w:r>
              <w:rPr>
                <w:sz w:val="4"/>
                <w:szCs w:val="4"/>
              </w:rPr>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41" w:type="dxa"/>
            <w:gridSpan w:val="30"/>
            <w:tcBorders>
              <w:bottom w:val="single" w:sz="8" w:space="0" w:color="000000"/>
            </w:tcBorders>
            <w:tcMar>
              <w:bottom w:w="28" w:type="dxa"/>
            </w:tcMar>
            <w:vAlign w:val="bottom"/>
          </w:tcPr>
          <w:p>
            <w:pPr>
              <w:pStyle w:val="TableContents"/>
              <w:bidi w:val="0"/>
              <w:spacing w:before="0" w:after="283"/>
              <w:jc w:val="center"/>
              <w:rPr>
                <w:b/>
                <w:sz w:val="16"/>
              </w:rPr>
            </w:pPr>
            <w:r>
              <w:rPr>
                <w:b/>
                <w:sz w:val="16"/>
              </w:rPr>
              <w:t>Three Months Ended</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b/>
              </w:rPr>
              <w:t>Sep. 30,</w:t>
            </w:r>
            <w:r>
              <w:rPr/>
              <w:br/>
            </w:r>
            <w:r>
              <w:rPr>
                <w:b/>
              </w:rPr>
              <w:t>2022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Dec. 31,</w:t>
            </w:r>
            <w:r>
              <w:rPr/>
              <w:br/>
            </w:r>
            <w:r>
              <w:rPr>
                <w:b/>
              </w:rPr>
              <w:t>2022</w:t>
            </w:r>
          </w:p>
        </w:tc>
        <w:tc>
          <w:tcPr>
            <w:tcW w:w="15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b/>
              </w:rPr>
              <w:t>Sep. 30,</w:t>
            </w:r>
            <w:r>
              <w:rPr/>
              <w:br/>
            </w:r>
            <w:r>
              <w:rPr>
                <w:b/>
              </w:rPr>
              <w:t>2023</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pPr>
            <w:r>
              <w:rPr>
                <w:b/>
              </w:rPr>
              <w:t>Dec. 31,</w:t>
            </w:r>
            <w:r>
              <w:rPr/>
              <w:br/>
            </w:r>
            <w:r>
              <w:rPr>
                <w:b/>
              </w:rPr>
              <w:t>2023</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41" w:type="dxa"/>
            <w:gridSpan w:val="30"/>
            <w:tcBorders/>
            <w:vAlign w:val="bottom"/>
          </w:tcPr>
          <w:p>
            <w:pPr>
              <w:pStyle w:val="TableContents"/>
              <w:bidi w:val="0"/>
              <w:spacing w:before="0" w:after="283"/>
              <w:jc w:val="center"/>
              <w:rPr>
                <w:b/>
              </w:rPr>
            </w:pPr>
            <w:r>
              <w:rPr>
                <w:b/>
              </w:rPr>
              <w:t>(in thousands)</w:t>
            </w:r>
          </w:p>
        </w:tc>
        <w:tc>
          <w:tcPr>
            <w:tcW w:w="72" w:type="dxa"/>
            <w:tcBorders/>
            <w:vAlign w:val="bottom"/>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GAAP net (loss) income</w:t>
            </w:r>
          </w:p>
        </w:tc>
        <w:tc>
          <w:tcPr>
            <w:tcW w:w="6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(5,572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(27,334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(5,342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(20,097</w:t>
            </w:r>
          </w:p>
        </w:tc>
        <w:tc>
          <w:tcPr>
            <w:tcW w:w="15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(17,454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(20,004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(3,124</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14,325</w:t>
            </w:r>
          </w:p>
        </w:tc>
        <w:tc>
          <w:tcPr>
            <w:tcW w:w="72" w:type="dxa"/>
            <w:tcBorders/>
            <w:shd w:fill="CCEEFF" w:val="clear"/>
            <w:vAlign w:val="bottom"/>
          </w:tcPr>
          <w:p>
            <w:pPr>
              <w:pStyle w:val="TableContents"/>
              <w:bidi w:val="0"/>
              <w:spacing w:before="0" w:after="283"/>
              <w:jc w:val="left"/>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(1)</w:t>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2,657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21,237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3,290</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3,051</w:t>
            </w:r>
          </w:p>
        </w:tc>
        <w:tc>
          <w:tcPr>
            <w:tcW w:w="154"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1,997</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2,672</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2,711</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3,299</w:t>
            </w:r>
          </w:p>
        </w:tc>
        <w:tc>
          <w:tcPr>
            <w:tcW w:w="72" w:type="dxa"/>
            <w:tcBorders/>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13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net (loss) income</w:t>
            </w:r>
          </w:p>
        </w:tc>
        <w:tc>
          <w:tcPr>
            <w:tcW w:w="63"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(2,915</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(6,097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(2,052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(17,046</w:t>
            </w:r>
          </w:p>
        </w:tc>
        <w:tc>
          <w:tcPr>
            <w:tcW w:w="154"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(15,457</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(17,332</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17,624</w:t>
            </w:r>
          </w:p>
        </w:tc>
        <w:tc>
          <w:tcPr>
            <w:tcW w:w="72" w:type="dxa"/>
            <w:tcBorders/>
            <w:shd w:fill="CCEEFF" w:val="clear"/>
            <w:vAlign w:val="bottom"/>
          </w:tcPr>
          <w:p>
            <w:pPr>
              <w:pStyle w:val="TableContents"/>
              <w:bidi w:val="0"/>
              <w:spacing w:before="0" w:after="283"/>
              <w:jc w:val="left"/>
              <w:rPr/>
            </w:pPr>
            <w:r>
              <w:rPr/>
              <w:t> </w:t>
            </w:r>
          </w:p>
        </w:tc>
      </w:tr>
      <w:tr>
        <w:trPr/>
        <w:tc>
          <w:tcPr>
            <w:tcW w:w="132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Non-GAAP net (loss) income does not include the tax effects of the stock-based compensation expense adjustment because such tax effects were not material during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Since our inception, we have financed our operations primarily through proceeds from issuance of our redeemable convertible preferred stock and cash generated from the sale of our products. As of December 31, 2023, our principal sources of liquidity were cash, cash equivalents, and marketable securities of $149.3 million and working capital of $150.7 million. Cash and cash equivalents are comprised of cash held in sweep accounts, checking accounts, money market funds, U.S. treasury and agency securities, and commercial paper with maturities less than three months. Marketable securities are comprised primarily of U.S. treasury and agency securities, commercial paper, corporate debt securities, and asset-backed securities. Our principal use of cash is to fund our operations and invest in research and development to support our growth. </w:t>
      </w:r>
    </w:p>
    <w:p>
      <w:pPr>
        <w:pStyle w:val="TextBody"/>
        <w:bidi w:val="0"/>
        <w:spacing w:before="240" w:after="0"/>
        <w:jc w:val="both"/>
        <w:rPr>
          <w:rFonts w:ascii="Times New Roman" w:hAnsi="Times New Roman"/>
          <w:sz w:val="20"/>
        </w:rPr>
      </w:pPr>
      <w:r>
        <w:rPr>
          <w:rFonts w:ascii="Times New Roman" w:hAnsi="Times New Roman"/>
          <w:sz w:val="20"/>
        </w:rPr>
        <w:t xml:space="preserve">We have generated significant losses from operations and negative cash flows from operating activities in the past as reflected in our accumulated deficit of $125.4 million as of December 31, 2023. Since our inception, we have financed our operations primarily through proceeds from the issuance of our redeemable convertible preferred stock and cash generated from the sale of our products. We believe that our current cash, cash equivalents, and marketable securities will be sufficient to fund our operations for at least the next 12 months. Our future capital requirements, however, will depend on many factors, including our growth rate, the timing and 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1"/>
        <w:gridCol w:w="238"/>
        <w:gridCol w:w="140"/>
        <w:gridCol w:w="877"/>
        <w:gridCol w:w="172"/>
        <w:gridCol w:w="205"/>
        <w:gridCol w:w="140"/>
        <w:gridCol w:w="766"/>
        <w:gridCol w:w="176"/>
      </w:tblGrid>
      <w:tr>
        <w:trPr/>
        <w:tc>
          <w:tcPr>
            <w:tcW w:w="7491"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w:t>
              <w:br/>
              <w:t>December 31,</w:t>
            </w:r>
          </w:p>
        </w:tc>
        <w:tc>
          <w:tcPr>
            <w:tcW w:w="176" w:type="dxa"/>
            <w:tcBorders/>
            <w:vAlign w:val="bottom"/>
          </w:tcPr>
          <w:p>
            <w:pPr>
              <w:pStyle w:val="TableContents"/>
              <w:bidi w:val="0"/>
              <w:spacing w:before="0" w:after="283"/>
              <w:jc w:val="left"/>
              <w:rPr/>
            </w:pPr>
            <w:r>
              <w:rPr/>
              <w:t> </w:t>
            </w:r>
          </w:p>
        </w:tc>
      </w:tr>
      <w:tr>
        <w:trPr/>
        <w:tc>
          <w:tcPr>
            <w:tcW w:w="7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2"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6" w:type="dxa"/>
            <w:tcBorders/>
            <w:vAlign w:val="bottom"/>
          </w:tcPr>
          <w:p>
            <w:pPr>
              <w:pStyle w:val="TableContents"/>
              <w:bidi w:val="0"/>
              <w:spacing w:before="0" w:after="283"/>
              <w:jc w:val="left"/>
              <w:rPr/>
            </w:pPr>
            <w:r>
              <w:rPr/>
              <w:t> </w:t>
            </w:r>
          </w:p>
        </w:tc>
      </w:tr>
      <w:tr>
        <w:trPr/>
        <w:tc>
          <w:tcPr>
            <w:tcW w:w="7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300" w:type="dxa"/>
            <w:gridSpan w:val="6"/>
            <w:tcBorders/>
            <w:vAlign w:val="bottom"/>
          </w:tcPr>
          <w:p>
            <w:pPr>
              <w:pStyle w:val="TableContents"/>
              <w:bidi w:val="0"/>
              <w:spacing w:before="0" w:after="283"/>
              <w:jc w:val="center"/>
              <w:rPr>
                <w:b/>
              </w:rPr>
            </w:pPr>
            <w:r>
              <w:rPr>
                <w:b/>
              </w:rPr>
              <w:t>(in thousands)</w:t>
            </w:r>
          </w:p>
        </w:tc>
        <w:tc>
          <w:tcPr>
            <w:tcW w:w="176" w:type="dxa"/>
            <w:tcBorders/>
            <w:vAlign w:val="bottom"/>
          </w:tcPr>
          <w:p>
            <w:pPr>
              <w:pStyle w:val="TableContents"/>
              <w:bidi w:val="0"/>
              <w:spacing w:before="0" w:after="283"/>
              <w:jc w:val="left"/>
              <w:rPr/>
            </w:pPr>
            <w:r>
              <w:rPr/>
              <w:t> </w:t>
            </w:r>
          </w:p>
        </w:tc>
      </w:tr>
      <w:tr>
        <w:trPr/>
        <w:tc>
          <w:tcPr>
            <w:tcW w:w="7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(35,898</w:t>
            </w:r>
          </w:p>
        </w:tc>
        <w:tc>
          <w:tcPr>
            <w:tcW w:w="172"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(12,716</w:t>
            </w:r>
          </w:p>
        </w:tc>
        <w:tc>
          <w:tcPr>
            <w:tcW w:w="176" w:type="dxa"/>
            <w:tcBorders/>
            <w:shd w:fill="CCEEFF" w:val="clear"/>
            <w:vAlign w:val="bottom"/>
          </w:tcPr>
          <w:p>
            <w:pPr>
              <w:pStyle w:val="TableContents"/>
              <w:bidi w:val="0"/>
              <w:spacing w:before="0" w:after="283"/>
              <w:jc w:val="left"/>
              <w:rPr/>
            </w:pPr>
            <w:r>
              <w:rPr/>
              <w:t>) </w:t>
            </w:r>
          </w:p>
        </w:tc>
      </w:tr>
      <w:tr>
        <w:trPr/>
        <w:tc>
          <w:tcPr>
            <w:tcW w:w="749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7" w:type="dxa"/>
            <w:tcBorders/>
            <w:vAlign w:val="bottom"/>
          </w:tcPr>
          <w:p>
            <w:pPr>
              <w:pStyle w:val="TableContents"/>
              <w:bidi w:val="0"/>
              <w:spacing w:before="0" w:after="283"/>
              <w:jc w:val="right"/>
              <w:rPr/>
            </w:pPr>
            <w:r>
              <w:rPr/>
              <w:t>(90,590</w:t>
            </w:r>
          </w:p>
        </w:tc>
        <w:tc>
          <w:tcPr>
            <w:tcW w:w="172"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(17,772</w:t>
            </w:r>
          </w:p>
        </w:tc>
        <w:tc>
          <w:tcPr>
            <w:tcW w:w="176" w:type="dxa"/>
            <w:tcBorders/>
            <w:vAlign w:val="bottom"/>
          </w:tcPr>
          <w:p>
            <w:pPr>
              <w:pStyle w:val="TableContents"/>
              <w:bidi w:val="0"/>
              <w:spacing w:before="0" w:after="283"/>
              <w:jc w:val="left"/>
              <w:rPr/>
            </w:pPr>
            <w:r>
              <w:rPr/>
              <w:t>) </w:t>
            </w:r>
          </w:p>
        </w:tc>
      </w:tr>
      <w:tr>
        <w:trPr/>
        <w:tc>
          <w:tcPr>
            <w:tcW w:w="7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151,668</w:t>
            </w:r>
          </w:p>
        </w:tc>
        <w:tc>
          <w:tcPr>
            <w:tcW w:w="172"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(502</w:t>
            </w:r>
          </w:p>
        </w:tc>
        <w:tc>
          <w:tcPr>
            <w:tcW w:w="1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Our largest source of operating cash is cash collection from sales of our products to our customers. Our primary uses of cash from operating activities are for personnel expenses, hardware and design expenses, and software expenses. In the last several years, we have incurred negative cash flows from operating activities and have supplemented working capital requirements through net proceeds from the sale of redeemable convertible preferred stock and stock option exercises. </w:t>
      </w:r>
    </w:p>
    <w:p>
      <w:pPr>
        <w:pStyle w:val="TextBody"/>
        <w:bidi w:val="0"/>
        <w:spacing w:before="240" w:after="0"/>
        <w:jc w:val="both"/>
        <w:rPr>
          <w:rFonts w:ascii="Times New Roman" w:hAnsi="Times New Roman"/>
          <w:sz w:val="20"/>
        </w:rPr>
      </w:pPr>
      <w:r>
        <w:rPr>
          <w:rFonts w:ascii="Times New Roman" w:hAnsi="Times New Roman"/>
          <w:sz w:val="20"/>
        </w:rPr>
        <w:t xml:space="preserve">Net cash used in operating activities for the year ended December 31, 2023 of $12.7 million included net loss of $26.3 million, a $7.1 million decrease in accrued expenses and other liabilities primarily due to lower accrued pre-production engineering mask costs and timing of payments, a $5.6 million increase in inventory primarily due to build up for anticipated demand, a $4.3 million decrease in accounts payable primarily due to timing of payments, and a $1.3 million decrease in operating lease liability. These cash flow uses were partially offset by an increase of $6.9 million in accrued compensation and benefits primarily due to increase in headcount, $2.4 million increase in accounts receivable due to higher product sales and timing of customer payments, and non-cash charges of $23.2 million primarily consisting of stock-based compensation, depreciation, and inventory write down.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Net cash used in operating activities for the year ended December 31, 2022 of $35.9 million included net loss of $58.3 million, a $6.0 million increase in accounts receivable due to higher product sales and timing of customer payments, a $19.4 million increase in inventory, a $1.3 million increase in prepaid expenses and other assets primarily related to prepayments for software licenses, and a $1.3 million decrease in operating lease liability. These cash flow uses were partially offset by non-cash charges of $32.4 million primarily consisting of stock-based compensation, depreciation, and non-cash operating lease expense, a $8.0 million increase in accrued compensation and benefits, a $7.9 million increase in accrued expenses and other liabilities mostly related to higher accrued pre-production engineering mask costs, higher accrued software licenses and timing of payments, and a $2.1 million increase in accounts payable related to higher operating expenses and timing of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Net cash used in investing activities for the year ended December 31, 2023 of $17.8 million was the result of $126.2 million in purchases of marketable securities and $2.8 million in purchases of property and equipment, offset by $78.8 million in proceeds from sales of marketable securities and $32.4 million in maturities of marketable securities. </w:t>
      </w:r>
    </w:p>
    <w:p>
      <w:pPr>
        <w:pStyle w:val="TextBody"/>
        <w:bidi w:val="0"/>
        <w:spacing w:before="240" w:after="0"/>
        <w:jc w:val="both"/>
        <w:rPr>
          <w:rFonts w:ascii="Times New Roman" w:hAnsi="Times New Roman"/>
          <w:sz w:val="20"/>
        </w:rPr>
      </w:pPr>
      <w:r>
        <w:rPr>
          <w:rFonts w:ascii="Times New Roman" w:hAnsi="Times New Roman"/>
          <w:sz w:val="20"/>
        </w:rPr>
        <w:t xml:space="preserve">Net cash used in investing activities for the year ended December 31, 2022 of $90.6 million was the result of $88.7 million in purchases of marketable securities and $3.9 million in purchases of property and equipment, partially offset by $1.0 million in maturities of marketable securities and $1.0 million in proceeds from sales of marketable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Net cash used in financing activities for the year ended December 31, 2023 of $0.5 million was the result of $1.4 million from payments for deferred offering costs and $0.2 million from the repurchase of common stock, partially offset by $1.1 million in proceeds from stock option exercises. </w:t>
      </w:r>
    </w:p>
    <w:p>
      <w:pPr>
        <w:pStyle w:val="TextBody"/>
        <w:bidi w:val="0"/>
        <w:spacing w:before="240" w:after="0"/>
        <w:jc w:val="both"/>
        <w:rPr>
          <w:rFonts w:ascii="Times New Roman" w:hAnsi="Times New Roman"/>
          <w:sz w:val="20"/>
        </w:rPr>
      </w:pPr>
      <w:r>
        <w:rPr>
          <w:rFonts w:ascii="Times New Roman" w:hAnsi="Times New Roman"/>
          <w:sz w:val="20"/>
        </w:rPr>
        <w:t xml:space="preserve">Net cash provided by financing activities for the year ended December 31, 2022 of $151.7 million was the result of $149.9 million in proceeds from the issuance of Series D redeemable convertible preferred stock, $2.1 million in proceeds from stock option exercises, partially offset by $0.3 million from the repurchase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both"/>
        <w:rPr>
          <w:rFonts w:ascii="Times New Roman" w:hAnsi="Times New Roman"/>
          <w:sz w:val="20"/>
        </w:rPr>
      </w:pPr>
      <w:r>
        <w:rPr>
          <w:rFonts w:ascii="Times New Roman" w:hAnsi="Times New Roman"/>
          <w:i/>
          <w:sz w:val="20"/>
        </w:rPr>
        <w:t xml:space="preserve">Operating lease commitments. </w:t>
      </w:r>
      <w:r>
        <w:rPr>
          <w:rFonts w:ascii="Times New Roman" w:hAnsi="Times New Roman"/>
          <w:sz w:val="20"/>
        </w:rPr>
        <w:t xml:space="preserve">Our operating lease commitments primarily include corporate offices. As of December 31, 2023, we had fixed lease payment obligations of $3.2 million, with $2.4 million to be paid within 12 months and the remainder thereafter. For additional discussion on our operating leases, see Note 5 to our audited consolidated financial statements included elsewhere in this prospectus. </w:t>
      </w:r>
    </w:p>
    <w:p>
      <w:pPr>
        <w:pStyle w:val="TextBody"/>
        <w:bidi w:val="0"/>
        <w:spacing w:before="240" w:after="0"/>
        <w:jc w:val="both"/>
        <w:rPr>
          <w:rFonts w:ascii="Times New Roman" w:hAnsi="Times New Roman"/>
          <w:sz w:val="20"/>
        </w:rPr>
      </w:pPr>
      <w:r>
        <w:rPr>
          <w:rFonts w:ascii="Times New Roman" w:hAnsi="Times New Roman"/>
          <w:i/>
          <w:sz w:val="20"/>
        </w:rPr>
        <w:t xml:space="preserve">Purchase commitments. </w:t>
      </w:r>
      <w:r>
        <w:rPr>
          <w:rFonts w:ascii="Times New Roman" w:hAnsi="Times New Roman"/>
          <w:sz w:val="20"/>
        </w:rPr>
        <w:t xml:space="preserve">Our purchase commitments are primarily related to software licenses and engineering services. As of December 31, 2023, we had purchase commitments of $7.7 million, with $4.1 million to be paid within 12 months and the remainder thereafter.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agreements, and there are no claims that we are aware of that could have a material effect on our consolidated balance sheets, consolidated statements of operations and comprehensive loss, or consolidated statements of cash flows.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2023, we had cash and cash equivalents of $45.1 million and marketable securities of $104.2 million, which consisted of cash held in sweep accounts, checking accounts, money market funds, U.S. treasury and agency securities, commercial paper, corporate debt securities, and asset-backed securities. The cash and cash equivalents are held primarily for working capital purposes. Such interest 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100 basis point change in interest rates would change the fair value of our investment in marketable securities by $0.6 million and $0.9 million as of December 31, 2022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Risk </w:t>
      </w:r>
    </w:p>
    <w:p>
      <w:pPr>
        <w:pStyle w:val="TextBody"/>
        <w:bidi w:val="0"/>
        <w:spacing w:before="120" w:after="0"/>
        <w:jc w:val="both"/>
        <w:rPr>
          <w:rFonts w:ascii="Times New Roman" w:hAnsi="Times New Roman"/>
          <w:sz w:val="20"/>
        </w:rPr>
      </w:pPr>
      <w:r>
        <w:rPr>
          <w:rFonts w:ascii="Times New Roman" w:hAnsi="Times New Roman"/>
          <w:sz w:val="20"/>
        </w:rPr>
        <w:t xml:space="preserve">Our reporting currency and the functional currency of our wholly owned foreign subsidiaries in Taiwan, Canada, and Israel is the U.S. dollar. In February 2024, we formed a wholly owned subsidiary in China, and its functional currency is also the U.S. dollar. All of our sales and operating expenses are transacted in U.S. dollars, and therefore our revenue and expenses are not currently subject to significant foreign currency risk. To date, we have not entered into any hedging arrangements with respect to foreign currency risk or other derivative financial instruments, although we may choose to do so in the future. We do not believe that a hypothetical 100 basis point increase or decrease in the relative value of the U.S. dollar to other currencies would have a material effect on our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both"/>
        <w:rPr>
          <w:rFonts w:ascii="Times New Roman" w:hAnsi="Times New Roman"/>
          <w:sz w:val="20"/>
        </w:rPr>
      </w:pPr>
      <w:r>
        <w:rPr>
          <w:rFonts w:ascii="Times New Roman" w:hAnsi="Times New Roman"/>
          <w:sz w:val="20"/>
        </w:rPr>
        <w:t xml:space="preserve">We prepare our financial statements in conformity with GAAP. The preparation of financial statements in conformity with GAAP required certain estimates and assumptions to be made that may affect our consolidated financial statements. Accounting policies that have a significant impact on our results are described in Note 1 to our consolidated financial statements included elsewhere in this prospectus.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 </w:t>
      </w:r>
    </w:p>
    <w:p>
      <w:pPr>
        <w:pStyle w:val="TextBody"/>
        <w:bidi w:val="0"/>
        <w:spacing w:before="240" w:after="0"/>
        <w:jc w:val="both"/>
        <w:rPr>
          <w:rFonts w:ascii="Times New Roman" w:hAnsi="Times New Roman"/>
          <w:sz w:val="20"/>
        </w:rPr>
      </w:pPr>
      <w:r>
        <w:rPr>
          <w:rFonts w:ascii="Times New Roman" w:hAnsi="Times New Roman"/>
          <w:sz w:val="20"/>
        </w:rPr>
        <w:t xml:space="preserve">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We continue to monitor and assess our critical estimates in light of developments, and as new events occur and additional information is obtained, our estimates may change materially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both"/>
        <w:rPr>
          <w:rFonts w:ascii="Times New Roman" w:hAnsi="Times New Roman"/>
          <w:sz w:val="20"/>
        </w:rPr>
      </w:pPr>
      <w:r>
        <w:rPr>
          <w:rFonts w:ascii="Times New Roman" w:hAnsi="Times New Roman"/>
          <w:sz w:val="20"/>
        </w:rPr>
        <w:t xml:space="preserve">We recognize revenue upon transfer of control of promised goods and services in an amount that reflects the consideration it expects to receive in exchange for those goods and services. Under Accounting Standards Codification 606, </w:t>
      </w:r>
      <w:r>
        <w:rPr>
          <w:rFonts w:ascii="Times New Roman" w:hAnsi="Times New Roman"/>
          <w:i/>
          <w:sz w:val="20"/>
        </w:rPr>
        <w:t>Revenue from Contracts with Customers</w:t>
      </w:r>
      <w:r>
        <w:rPr>
          <w:rFonts w:ascii="Times New Roman" w:hAnsi="Times New Roman"/>
          <w:sz w:val="20"/>
        </w:rPr>
        <w:t xml:space="preserve"> (ASC 606),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 </w:t>
      </w:r>
    </w:p>
    <w:p>
      <w:pPr>
        <w:pStyle w:val="TextBody"/>
        <w:bidi w:val="0"/>
        <w:spacing w:before="240" w:after="0"/>
        <w:jc w:val="both"/>
        <w:rPr>
          <w:rFonts w:ascii="Times New Roman" w:hAnsi="Times New Roman"/>
          <w:sz w:val="20"/>
        </w:rPr>
      </w:pPr>
      <w:r>
        <w:rPr>
          <w:rFonts w:ascii="Times New Roman" w:hAnsi="Times New Roman"/>
          <w:sz w:val="20"/>
        </w:rPr>
        <w:t xml:space="preserve">Where an arrangement includes multiple performance obligations, the transaction price is allocated to each performance obligation on a relative standalone selling price (SSP) basis. We determine the SSP based on an observable standalone selling price when it is available, as well as other factors, including the price charged to customers and our overall pricing objectives, while maximizing observable inputs. </w:t>
      </w:r>
    </w:p>
    <w:p>
      <w:pPr>
        <w:pStyle w:val="TextBody"/>
        <w:bidi w:val="0"/>
        <w:spacing w:before="240" w:after="0"/>
        <w:jc w:val="both"/>
        <w:rPr>
          <w:rFonts w:ascii="Times New Roman" w:hAnsi="Times New Roman"/>
          <w:sz w:val="20"/>
        </w:rPr>
      </w:pPr>
      <w:r>
        <w:rPr>
          <w:rFonts w:ascii="Times New Roman" w:hAnsi="Times New Roman"/>
          <w:sz w:val="20"/>
        </w:rPr>
        <w:t xml:space="preserve">Accounts receivable are recorded when the customer has been billed or the right to consideration is unconditional. We record deferred revenue when we have received consideration, or an amount of consideration is due from the customer, and we have a future obligation to transfer products or services. From time to time, we have contracts with initial terms that include performance obligations that extend beyond one year. </w:t>
      </w:r>
    </w:p>
    <w:p>
      <w:pPr>
        <w:pStyle w:val="TextBody"/>
        <w:bidi w:val="0"/>
        <w:spacing w:before="240" w:after="0"/>
        <w:jc w:val="both"/>
        <w:rPr>
          <w:rFonts w:ascii="Times New Roman" w:hAnsi="Times New Roman"/>
          <w:sz w:val="20"/>
        </w:rPr>
      </w:pPr>
      <w:r>
        <w:rPr>
          <w:rFonts w:ascii="Times New Roman" w:hAnsi="Times New Roman"/>
          <w:sz w:val="20"/>
        </w:rPr>
        <w:t xml:space="preserve">We transact with customers primarily pursuant to standard purchase orders for delivery of products and do not allow customers to cancel or change purchase orders within limited notice periods. We recognize product sales when control transfers to the customer, generally at the time of product shipment from its facilities or at the time when products are received by customers depending on the shipping terms with our customers, in an amount that reflects the consideration we expect to receive in exchange for those goods, net of estimated sales returns, distributor price adjustments (DPA), rebates, and other customer incentives. </w:t>
      </w:r>
    </w:p>
    <w:p>
      <w:pPr>
        <w:pStyle w:val="TextBody"/>
        <w:bidi w:val="0"/>
        <w:spacing w:before="240" w:after="0"/>
        <w:jc w:val="both"/>
        <w:rPr>
          <w:rFonts w:ascii="Times New Roman" w:hAnsi="Times New Roman"/>
          <w:sz w:val="20"/>
        </w:rPr>
      </w:pPr>
      <w:r>
        <w:rPr>
          <w:rFonts w:ascii="Times New Roman" w:hAnsi="Times New Roman"/>
          <w:sz w:val="20"/>
        </w:rPr>
        <w:t xml:space="preserve">We sell the majority of our products to distributors at a fixed list price. Distributors are authorized to resell our products to customers at a range of individually negotiated price points based on a variety of factors, including customer, product, quantity, geography, and competitive differentiation. The majority of our distributors resales are priced at a discount from list price (the original purchase price). After the resale transaction is completed, we issue credit memos to the distributor for the price adjustments. </w:t>
      </w:r>
    </w:p>
    <w:p>
      <w:pPr>
        <w:pStyle w:val="TextBody"/>
        <w:bidi w:val="0"/>
        <w:spacing w:before="240" w:after="0"/>
        <w:jc w:val="both"/>
        <w:rPr>
          <w:rFonts w:ascii="Times New Roman" w:hAnsi="Times New Roman"/>
          <w:sz w:val="20"/>
        </w:rPr>
      </w:pPr>
      <w:r>
        <w:rPr>
          <w:rFonts w:ascii="Times New Roman" w:hAnsi="Times New Roman"/>
          <w:sz w:val="20"/>
        </w:rPr>
        <w:t xml:space="preserve">Sales to most distributors are made under programs common in the semiconductor industry whereby distributors receive DPAs to meet individual competitive opportunities. These programs may include credits granted to distributors or price protection credits when our standard published prices are lowered from the price the distributor paid for product still in its inventory. </w:t>
      </w:r>
    </w:p>
    <w:p>
      <w:pPr>
        <w:pStyle w:val="TextBody"/>
        <w:bidi w:val="0"/>
        <w:spacing w:before="240" w:after="0"/>
        <w:jc w:val="both"/>
        <w:rPr>
          <w:rFonts w:ascii="Times New Roman" w:hAnsi="Times New Roman"/>
          <w:sz w:val="20"/>
        </w:rPr>
      </w:pPr>
      <w:r>
        <w:rPr>
          <w:rFonts w:ascii="Times New Roman" w:hAnsi="Times New Roman"/>
          <w:sz w:val="20"/>
        </w:rPr>
        <w:t xml:space="preserve">In determining the transaction price, DPAs are considered variable consideration that reduce the amount of revenue recognized. Our policy is to estimate such price adjustments based on our historical prices and contractual terms using the expected value method. To date, actual DPAs have been materially consistent with the provisions we have made, based on our historical estimates. However, because of the inherent nature of estimates, there is always a risk that there could be significant differences between actual amounts and our estimates. We also consider the constraint on estimates of variable consideration when estimating the total transaction price. </w:t>
      </w:r>
    </w:p>
    <w:p>
      <w:pPr>
        <w:pStyle w:val="TextBody"/>
        <w:bidi w:val="0"/>
        <w:spacing w:before="240" w:after="0"/>
        <w:jc w:val="both"/>
        <w:rPr>
          <w:rFonts w:ascii="Times New Roman" w:hAnsi="Times New Roman"/>
          <w:sz w:val="20"/>
        </w:rPr>
      </w:pPr>
      <w:r>
        <w:rPr>
          <w:rFonts w:ascii="Times New Roman" w:hAnsi="Times New Roman"/>
          <w:sz w:val="20"/>
        </w:rPr>
        <w:t xml:space="preserve">Our customer programs involve volume-based rebates, which are designed to serve as sales incentives to resellers of our products in various target markets. We account for rebates as a reduction to revenue and accrue for potential rebates based on the amount we expect to be claimed by customers. </w:t>
      </w:r>
    </w:p>
    <w:p>
      <w:pPr>
        <w:pStyle w:val="TextBody"/>
        <w:bidi w:val="0"/>
        <w:spacing w:before="240" w:after="0"/>
        <w:jc w:val="both"/>
        <w:rPr>
          <w:rFonts w:ascii="Times New Roman" w:hAnsi="Times New Roman"/>
          <w:sz w:val="20"/>
        </w:rPr>
      </w:pPr>
      <w:r>
        <w:rPr>
          <w:rFonts w:ascii="Times New Roman" w:hAnsi="Times New Roman"/>
          <w:sz w:val="20"/>
        </w:rPr>
        <w:t xml:space="preserve">Revenue is recognized net of taxes collected, which are subsequently remitted to governmental authorities. Consideration payable includes cash amounts that we pay, or expect to pay, to a customer, and is included in accrued expenses and other current liabilities. Consideration payable also includes credits or other items. We account for consideration payable to a customer as a reduction of the transaction price, and therefore, of revenue, unless the payment to the customer is in exchange for a distinct good or service that the customer transfers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measure and recognize our stock-based compensation expense for stock options based on the estimated fair value of the award. We use the Black-Scholes-Merton pricing model to determine the grant date fair value of stock options. For awards with service conditions only, stock-based compensation expense is recognized on a straight-line basis over the requisite service period of the awards, which is generally the vesting period. For awards with both a time and liquidity event condition, stock-based compensation expense is recognized using the accelerated-attribution method over the estimated vesting period of the awards if and when we conclude that it is probable that the liquidity event condition will be achieved. We reassess the probability of vesting at each reporting period for awards with liquidity event conditions and adjust compensation expense based on its probability assessment. We account for forfeitures as they occur. </w:t>
      </w:r>
    </w:p>
    <w:p>
      <w:pPr>
        <w:pStyle w:val="TextBody"/>
        <w:bidi w:val="0"/>
        <w:spacing w:before="240" w:after="0"/>
        <w:jc w:val="both"/>
        <w:rPr>
          <w:rFonts w:ascii="Times New Roman" w:hAnsi="Times New Roman"/>
          <w:sz w:val="20"/>
        </w:rPr>
      </w:pPr>
      <w:r>
        <w:rPr>
          <w:rFonts w:ascii="Times New Roman" w:hAnsi="Times New Roman"/>
          <w:sz w:val="20"/>
        </w:rPr>
        <w:t xml:space="preserve">We measure and recognize our stock-based compensation expense for RSUs based on the estimated fair value of the underlying common stock on the date of grant. Our RSUs vest upon the satisfaction of both a time and liquidity event condition. We recognize compensation expense for awards with both a time and liquidity event condition on a straight-line basis over the requisite service period for each separately vesting portion of the award and, for awards with liquidity event conditions, when it concludes it is probable that the liquidity event condition will be achieved. We reassess the probability of vesting at each balance sheet date and adjust compensation expense based on the probability assessment. </w:t>
      </w:r>
    </w:p>
    <w:p>
      <w:pPr>
        <w:pStyle w:val="TextBody"/>
        <w:bidi w:val="0"/>
        <w:spacing w:before="240" w:after="0"/>
        <w:jc w:val="both"/>
        <w:rPr>
          <w:rFonts w:ascii="Times New Roman" w:hAnsi="Times New Roman"/>
          <w:sz w:val="20"/>
        </w:rPr>
      </w:pPr>
      <w:r>
        <w:rPr>
          <w:rFonts w:ascii="Times New Roman" w:hAnsi="Times New Roman"/>
          <w:sz w:val="20"/>
        </w:rPr>
        <w:t xml:space="preserve">We continue to use judgment in evaluating the expected volatility and expected term utilized in our stock-based compensation expense calculation on a prospective basis. As we continue to accumulate additional data related to our common stock, we may refine our estimates of expected volatility and expected term, which could materially impact our future stock-based compensation expense.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total unrecognized stock-based compensation cost related to unvested RSUs was $113.5 million, which is expected to be recognized over a weighted-average period of 3.1 years. In addition, if the completion of this offering had occurred on December 31, 2023, $62.3 million of unrecognized stock-based compensation as of that date would have been recognized for all RSUs that had fully or partially satisfied the service-based vesting condition on that date. Following the completion of this offering, stock-based compensation expense related to our RSUs will result in increases in our expenses in future periods, in particular the quarter in which this offering is completed for RSUs for which the time condition will be satisfied and for which the liquidity event condition will be satisfied upon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Valuations </w:t>
      </w:r>
    </w:p>
    <w:p>
      <w:pPr>
        <w:pStyle w:val="TextBody"/>
        <w:bidi w:val="0"/>
        <w:spacing w:before="120" w:after="0"/>
        <w:jc w:val="both"/>
        <w:rPr>
          <w:rFonts w:ascii="Times New Roman" w:hAnsi="Times New Roman"/>
          <w:sz w:val="20"/>
        </w:rPr>
      </w:pPr>
      <w:r>
        <w:rPr>
          <w:rFonts w:ascii="Times New Roman" w:hAnsi="Times New Roman"/>
          <w:sz w:val="20"/>
        </w:rPr>
        <w:t xml:space="preserve">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hAnsi="Times New Roman"/>
          <w:i/>
          <w:sz w:val="20"/>
        </w:rPr>
        <w:t>Valuation of Privately-Held Company Equity Securities Issued as Compensation</w:t>
      </w:r>
      <w:r>
        <w:rPr>
          <w:rFonts w:ascii="Times New Roman" w:hAnsi="Times New Roman"/>
          <w:sz w:val="20"/>
        </w:rPr>
        <w:t xml:space="preserve">, our board of directors exercised reasonable judgment and considered numerous objective and subjective factors to determine the best estimate of the fair value of our common stock at each grant date. These factors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results of contemporaneous valuations performed at periodic intervals by a third-party valuation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prices, rights, preferences, and privileges of our redeemable convertible preferred stock relative to those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prices of our redeemable convertible preferred stock and common stock sold to investors in arms-length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actual operating and financial performance and estimated trends and prospects for our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stage of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likelihood of achieving a liquidity event, such as an initial public offering, direct listing, or sale of our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lack of marketability involving securities in a private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market performance of comparable publicly traded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U.S. and global capital market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 </w:t>
      </w:r>
    </w:p>
    <w:p>
      <w:pPr>
        <w:pStyle w:val="TextBody"/>
        <w:bidi w:val="0"/>
        <w:spacing w:before="240" w:after="0"/>
        <w:jc w:val="both"/>
        <w:rPr>
          <w:rFonts w:ascii="Times New Roman" w:hAnsi="Times New Roman"/>
          <w:sz w:val="20"/>
        </w:rPr>
      </w:pPr>
      <w:r>
        <w:rPr>
          <w:rFonts w:ascii="Times New Roman" w:hAnsi="Times New Roman"/>
          <w:sz w:val="20"/>
        </w:rPr>
        <w:t xml:space="preserve">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unrelated parties, and whether the transactions involved investors with access to our financial information. </w:t>
      </w:r>
    </w:p>
    <w:p>
      <w:pPr>
        <w:pStyle w:val="TextBody"/>
        <w:bidi w:val="0"/>
        <w:spacing w:before="240" w:after="0"/>
        <w:jc w:val="both"/>
        <w:rPr>
          <w:rFonts w:ascii="Times New Roman" w:hAnsi="Times New Roman"/>
          <w:sz w:val="20"/>
        </w:rPr>
      </w:pPr>
      <w:r>
        <w:rPr>
          <w:rFonts w:ascii="Times New Roman" w:hAnsi="Times New Roman"/>
          <w:sz w:val="20"/>
        </w:rPr>
        <w:t xml:space="preserve">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 </w:t>
      </w:r>
    </w:p>
    <w:p>
      <w:pPr>
        <w:pStyle w:val="TextBody"/>
        <w:bidi w:val="0"/>
        <w:spacing w:before="360" w:after="0"/>
        <w:jc w:val="both"/>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For more information, see Note 1 to our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285484_9a"/>
      <w:bookmarkEnd w:id="12"/>
      <w:r>
        <w:rPr>
          <w:rFonts w:ascii="Times New Roman" w:hAnsi="Times New Roman"/>
          <w:b/>
          <w:sz w:val="20"/>
        </w:rPr>
        <w:t xml:space="preserve">A LETTER FROM OUR FOUNDERS </w:t>
      </w:r>
    </w:p>
    <w:p>
      <w:pPr>
        <w:pStyle w:val="TextBody"/>
        <w:bidi w:val="0"/>
        <w:spacing w:before="240" w:after="0"/>
        <w:jc w:val="both"/>
        <w:rPr>
          <w:rFonts w:ascii="Times New Roman" w:hAnsi="Times New Roman"/>
          <w:sz w:val="20"/>
        </w:rPr>
      </w:pPr>
      <w:r>
        <w:rPr>
          <w:rFonts w:ascii="Times New Roman" w:hAnsi="Times New Roman"/>
          <w:sz w:val="20"/>
        </w:rPr>
        <w:t xml:space="preserve">Dear Investors, </w:t>
      </w:r>
    </w:p>
    <w:p>
      <w:pPr>
        <w:pStyle w:val="TextBody"/>
        <w:bidi w:val="0"/>
        <w:spacing w:before="240" w:after="0"/>
        <w:jc w:val="both"/>
        <w:rPr>
          <w:rFonts w:ascii="Times New Roman" w:hAnsi="Times New Roman"/>
          <w:sz w:val="20"/>
        </w:rPr>
      </w:pPr>
      <w:r>
        <w:rPr>
          <w:rFonts w:ascii="Times New Roman" w:hAnsi="Times New Roman"/>
          <w:sz w:val="20"/>
        </w:rPr>
        <w:t xml:space="preserve">You hear a lot about Artificial Intelligence (AI) these days. We are living in a time when advancements in compute technology are finally sufficient to bring to life the AI applications of past imagination, all in the palm of our hands via our smart phones. In just five days after launch in late 2022, ChatGPT amassed over one million active usersmany of whom were in disbelieving awe over the human-like responses from an AI bot. The Internet Era gave way to the Smart Phone Era, which has now given way to the present technology era: the AI Era. </w:t>
      </w:r>
    </w:p>
    <w:p>
      <w:pPr>
        <w:pStyle w:val="TextBody"/>
        <w:bidi w:val="0"/>
        <w:spacing w:before="240" w:after="0"/>
        <w:jc w:val="both"/>
        <w:rPr>
          <w:rFonts w:ascii="Times New Roman" w:hAnsi="Times New Roman"/>
          <w:sz w:val="20"/>
        </w:rPr>
      </w:pPr>
      <w:r>
        <w:rPr>
          <w:rFonts w:ascii="Times New Roman" w:hAnsi="Times New Roman"/>
          <w:sz w:val="20"/>
        </w:rPr>
        <w:t xml:space="preserve">We, the founders, were convinced of the promise of AI back in 2017, during the early innings of the AI Era. We believed that AI models would grow large enough to be practical only at cloud-scale. We bet that an exponential growth in AI processing power would be constrained by a fundamental problem: connecting powerful compute elements (e.g., GPUs) at a massive scale to tackle large, distributed AI workloads. While many other companies were focused on building accelerators with unprecedented compute, we decided to address the problem of </w:t>
      </w:r>
      <w:r>
        <w:rPr>
          <w:rFonts w:ascii="Times New Roman" w:hAnsi="Times New Roman"/>
          <w:i/>
          <w:sz w:val="20"/>
        </w:rPr>
        <w:t>connecting</w:t>
      </w:r>
      <w:r>
        <w:rPr>
          <w:rFonts w:ascii="Times New Roman" w:hAnsi="Times New Roman"/>
          <w:sz w:val="20"/>
        </w:rPr>
        <w:t xml:space="preserve"> all of them to deliver the full performance of an AI cluster. </w:t>
      </w:r>
    </w:p>
    <w:p>
      <w:pPr>
        <w:pStyle w:val="TextBody"/>
        <w:bidi w:val="0"/>
        <w:spacing w:before="240" w:after="0"/>
        <w:jc w:val="both"/>
        <w:rPr>
          <w:rFonts w:ascii="Times New Roman" w:hAnsi="Times New Roman"/>
          <w:sz w:val="20"/>
        </w:rPr>
      </w:pPr>
      <w:r>
        <w:rPr>
          <w:rFonts w:ascii="Times New Roman" w:hAnsi="Times New Roman"/>
          <w:sz w:val="20"/>
        </w:rPr>
        <w:t xml:space="preserve">We have worked with each other very closely for over a decade, delivering many high-speed connectivity products from concept to high-volume deployments. We share a passion for identifying and developing solutions for tough problems, often before our customers fully comprehend the need. While each of us bring different skills and expertise to Astera Labs, we have a deep respect for each other. We challenge each other, help each other, and most importantly, we truly enjoy working with each other. As fans of all things astronomical, we named our venture Astera which means star-like. Our products are named after constellations and our conference rooms after heavenly bodies. </w:t>
      </w:r>
    </w:p>
    <w:p>
      <w:pPr>
        <w:pStyle w:val="TextBody"/>
        <w:bidi w:val="0"/>
        <w:spacing w:before="240" w:after="0"/>
        <w:jc w:val="both"/>
        <w:rPr>
          <w:rFonts w:ascii="Times New Roman" w:hAnsi="Times New Roman"/>
          <w:sz w:val="20"/>
        </w:rPr>
      </w:pPr>
      <w:r>
        <w:rPr>
          <w:rFonts w:ascii="Times New Roman" w:hAnsi="Times New Roman"/>
          <w:sz w:val="20"/>
        </w:rPr>
        <w:t xml:space="preserve">Fueled by our passion for solving connectivity challenges and the trust we had in each other, we left our jobs and started Astera Labs in typical Silicon Valley fashionin a garage. Our mission then, which continues today, was to innovate, design, and deliver semiconductor-based connectivity solutions that are purpose-built for cloud and AI infrastructure. </w:t>
      </w:r>
    </w:p>
    <w:p>
      <w:pPr>
        <w:pStyle w:val="TextBody"/>
        <w:bidi w:val="0"/>
        <w:spacing w:before="240" w:after="0"/>
        <w:jc w:val="both"/>
        <w:rPr>
          <w:rFonts w:ascii="Times New Roman" w:hAnsi="Times New Roman"/>
          <w:sz w:val="20"/>
        </w:rPr>
      </w:pPr>
      <w:r>
        <w:rPr>
          <w:rFonts w:ascii="Times New Roman" w:hAnsi="Times New Roman"/>
          <w:sz w:val="20"/>
        </w:rPr>
        <w:t xml:space="preserve">With an eye toward building long-term value, creating diversified product families, and most importantly, earning trusted advisor status from our hyperscaler customers, we set out to tackle the most important connectivity bottlenecks. We developed our Intelligent Connectivity Platform, comprised of semiconductor-based, high-speed, mixed-signal connectivity products that are built on an innovative software-defined architecture; and we developed COSMOS, our software suite which is embedded in our connectivity products and integrated in our customers systems. </w:t>
      </w:r>
    </w:p>
    <w:p>
      <w:pPr>
        <w:pStyle w:val="TextBody"/>
        <w:bidi w:val="0"/>
        <w:spacing w:before="240" w:after="0"/>
        <w:jc w:val="both"/>
        <w:rPr>
          <w:rFonts w:ascii="Times New Roman" w:hAnsi="Times New Roman"/>
          <w:sz w:val="20"/>
        </w:rPr>
      </w:pPr>
      <w:r>
        <w:rPr>
          <w:rFonts w:ascii="Times New Roman" w:hAnsi="Times New Roman"/>
          <w:sz w:val="20"/>
        </w:rPr>
        <w:t xml:space="preserve">In our first five years of operation, we developed three product families, each addressing critical bottlenecks in AI infrastructure: Aries, which helps CPUs and GPUs scale their data I/O bandwidth; Taurus, which provides AI servers with faster network bandwidth; and Leo, which enables CPUs and GPUs to easily scale their memory bandwidth and capacity. Resolving one connectivity bottleneck often turns the spotlight on another, and we continue to march alongside our customers, developing new product families to unlock the true potential of AI. </w:t>
      </w:r>
    </w:p>
    <w:p>
      <w:pPr>
        <w:pStyle w:val="TextBody"/>
        <w:bidi w:val="0"/>
        <w:spacing w:before="240" w:after="0"/>
        <w:jc w:val="both"/>
        <w:rPr>
          <w:rFonts w:ascii="Times New Roman" w:hAnsi="Times New Roman"/>
          <w:sz w:val="20"/>
        </w:rPr>
      </w:pPr>
      <w:r>
        <w:rPr>
          <w:rFonts w:ascii="Times New Roman" w:hAnsi="Times New Roman"/>
          <w:sz w:val="20"/>
        </w:rPr>
        <w:t xml:space="preserve">With todays AI models exceeding one trillion parameters and AI clusters spanning thousands of GPUs, the bottleneck for AI deployments in the cloud has shifted from computing performance to connectivity. Today, expensive GPUs in large AI clusters sit idle for half the time, waiting for data. Increasing the utilization of AI hardware presents a large challenge, as well as a massive opportunity for Astera Labs. Now, more than ever, we feel confident that we made the right bet. </w:t>
      </w:r>
    </w:p>
    <w:p>
      <w:pPr>
        <w:pStyle w:val="TextBody"/>
        <w:bidi w:val="0"/>
        <w:spacing w:before="240" w:after="0"/>
        <w:jc w:val="both"/>
        <w:rPr>
          <w:rFonts w:ascii="Times New Roman" w:hAnsi="Times New Roman"/>
          <w:sz w:val="20"/>
        </w:rPr>
      </w:pPr>
      <w:r>
        <w:rPr>
          <w:rFonts w:ascii="Times New Roman" w:hAnsi="Times New Roman"/>
          <w:sz w:val="20"/>
        </w:rPr>
        <w:t xml:space="preserve">We are an ambitious company in a competitive industry. We have assembled a strong team of talented individuals, driven by our mission, and working together with a shared set of values. Astera Labs culture is defined by four key tenets: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Customer Focus:</w:t>
      </w:r>
      <w:r>
        <w:rPr>
          <w:rFonts w:ascii="Times New Roman" w:hAnsi="Times New Roman"/>
          <w:sz w:val="20"/>
        </w:rPr>
        <w:t xml:space="preserve"> We build deep relationships with our customers and intensely focus on their different needs. We partner with customers who are tackling the fundamental problems of AI technology advancement, and we provide completesilicon, hardware, and softwaresolutions that address their specific pain points. </w:t>
      </w:r>
    </w:p>
    <w:p>
      <w:pPr>
        <w:pStyle w:val="TextBody"/>
        <w:bidi w:val="0"/>
        <w:spacing w:before="240" w:after="0"/>
        <w:jc w:val="both"/>
        <w:rPr>
          <w:rFonts w:ascii="Times New Roman" w:hAnsi="Times New Roman"/>
          <w:sz w:val="20"/>
        </w:rPr>
      </w:pPr>
      <w:r>
        <w:rPr>
          <w:rFonts w:ascii="Times New Roman" w:hAnsi="Times New Roman"/>
          <w:b/>
          <w:sz w:val="20"/>
        </w:rPr>
        <w:t>Deliver Results:</w:t>
      </w:r>
      <w:r>
        <w:rPr>
          <w:rFonts w:ascii="Times New Roman" w:hAnsi="Times New Roman"/>
          <w:sz w:val="20"/>
        </w:rPr>
        <w:t xml:space="preserve"> We believe in delivering results that match the pace of our customers. We have a strong track record of execution that is rooted in a software-based product architecture, which is optimized for flexibility, customization, and schedule. Rather than a kitchen sink approach, we maniacally focus on must-have features, execute with hair-on-fire urgency, and deliver a purpose-built solution in a short time. </w:t>
      </w:r>
    </w:p>
    <w:p>
      <w:pPr>
        <w:pStyle w:val="TextBody"/>
        <w:bidi w:val="0"/>
        <w:spacing w:before="240" w:after="0"/>
        <w:jc w:val="both"/>
        <w:rPr>
          <w:rFonts w:ascii="Times New Roman" w:hAnsi="Times New Roman"/>
          <w:sz w:val="20"/>
        </w:rPr>
      </w:pPr>
      <w:r>
        <w:rPr>
          <w:rFonts w:ascii="Times New Roman" w:hAnsi="Times New Roman"/>
          <w:b/>
          <w:sz w:val="20"/>
        </w:rPr>
        <w:t>Invent &amp; Simplify:</w:t>
      </w:r>
      <w:r>
        <w:rPr>
          <w:rFonts w:ascii="Times New Roman" w:hAnsi="Times New Roman"/>
          <w:sz w:val="20"/>
        </w:rPr>
        <w:t xml:space="preserve"> We innovate exponentially rather than incrementally in everything we do; from what we build to how we build. We not only develop solutions for the cloud, but we also develop all our silicon products on public cloud infrastructure. Beyond the obvious cost and scale benefits, we do this so we can gain valuable insights about the reliability, monitoring, and performance expectations users have of public-cloud infrastructure. </w:t>
      </w:r>
    </w:p>
    <w:p>
      <w:pPr>
        <w:pStyle w:val="TextBody"/>
        <w:bidi w:val="0"/>
        <w:spacing w:before="240" w:after="0"/>
        <w:jc w:val="both"/>
        <w:rPr>
          <w:rFonts w:ascii="Times New Roman" w:hAnsi="Times New Roman"/>
          <w:sz w:val="20"/>
        </w:rPr>
      </w:pPr>
      <w:r>
        <w:rPr>
          <w:rFonts w:ascii="Times New Roman" w:hAnsi="Times New Roman"/>
          <w:b/>
          <w:sz w:val="20"/>
        </w:rPr>
        <w:t>Trust:</w:t>
      </w:r>
      <w:r>
        <w:rPr>
          <w:rFonts w:ascii="Times New Roman" w:hAnsi="Times New Roman"/>
          <w:sz w:val="20"/>
        </w:rPr>
        <w:t xml:space="preserve"> We operate with integrity and respect. We support and trust each other, and we aim to earn the trust of our customers and partners. We firmly believe that honest, empathetic human relationshipswith team members, partners, suppliers, and customersare critically important to building a successful, lasting company. </w:t>
      </w:r>
    </w:p>
    <w:p>
      <w:pPr>
        <w:pStyle w:val="TextBody"/>
        <w:bidi w:val="0"/>
        <w:spacing w:before="240" w:after="0"/>
        <w:jc w:val="both"/>
        <w:rPr>
          <w:rFonts w:ascii="Times New Roman" w:hAnsi="Times New Roman"/>
          <w:sz w:val="20"/>
        </w:rPr>
      </w:pPr>
      <w:r>
        <w:rPr>
          <w:rFonts w:ascii="Times New Roman" w:hAnsi="Times New Roman"/>
          <w:sz w:val="20"/>
        </w:rPr>
        <w:t xml:space="preserve">While we are proud of our teams accomplishments thus far, our best years lie ahead of us. We see a transformative opportunity to provide foundational connectivity solutions to unlock the potential of cloud and AI infrastructure and scale one of the most significant technological advancements of our time. We hope youll join us.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Stellar by design! </w:t>
      </w:r>
    </w:p>
    <w:p>
      <w:pPr>
        <w:pStyle w:val="TextBody"/>
        <w:bidi w:val="0"/>
        <w:spacing w:before="240" w:after="0"/>
        <w:jc w:val="left"/>
        <w:rPr>
          <w:rFonts w:ascii="Times New Roman" w:hAnsi="Times New Roman"/>
          <w:sz w:val="20"/>
        </w:rPr>
      </w:pPr>
      <w:r>
        <w:rPr>
          <w:rFonts w:ascii="Times New Roman" w:hAnsi="Times New Roman"/>
          <w:sz w:val="20"/>
        </w:rPr>
        <w:t xml:space="preserve">Jitendra Mohan, Sanjay Gajendra, and Casey Morrison </w:t>
      </w:r>
    </w:p>
    <w:p>
      <w:pPr>
        <w:pStyle w:val="TextBody"/>
        <w:bidi w:val="0"/>
        <w:spacing w:before="240" w:after="0"/>
        <w:jc w:val="left"/>
        <w:rPr>
          <w:rFonts w:ascii="Times New Roman" w:hAnsi="Times New Roman"/>
          <w:sz w:val="20"/>
        </w:rPr>
      </w:pPr>
      <w:r>
        <w:rPr>
          <w:rFonts w:ascii="Times New Roman" w:hAnsi="Times New Roman"/>
          <w:sz w:val="20"/>
        </w:rPr>
        <w:t xml:space="preserve">Co-Founders, Astera Labs </w:t>
      </w:r>
    </w:p>
    <w:p>
      <w:pPr>
        <w:pStyle w:val="TextBody"/>
        <w:bidi w:val="0"/>
        <w:spacing w:before="0" w:after="0"/>
        <w:jc w:val="left"/>
        <w:rPr/>
      </w:pPr>
      <w:r>
        <w:rPr/>
        <w:t> </w:t>
      </w:r>
    </w:p>
    <w:p>
      <w:pPr>
        <w:pStyle w:val="TextBody"/>
        <w:bidi w:val="0"/>
        <w:spacing w:before="0" w:after="0"/>
        <w:jc w:val="center"/>
        <w:rPr/>
      </w:pPr>
      <w:r>
        <w:rPr/>
        <w:drawing>
          <wp:inline distT="0" distB="0" distL="0" distR="0">
            <wp:extent cx="503555" cy="22669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503555" cy="2266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285484_10"/>
      <w:bookmarkEnd w:id="13"/>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Our mission is to innovate, design, and deliver semiconductor-based connectivity solutions that are purpose-built to unleash the full potential of cloud and AI infrastructure. </w:t>
      </w:r>
    </w:p>
    <w:p>
      <w:pPr>
        <w:pStyle w:val="TextBody"/>
        <w:bidi w:val="0"/>
        <w:spacing w:before="240" w:after="0"/>
        <w:jc w:val="both"/>
        <w:rPr>
          <w:rFonts w:ascii="Times New Roman" w:hAnsi="Times New Roman"/>
          <w:sz w:val="20"/>
        </w:rPr>
      </w:pPr>
      <w:r>
        <w:rPr>
          <w:rFonts w:ascii="Times New Roman" w:hAnsi="Times New Roman"/>
          <w:sz w:val="20"/>
        </w:rPr>
        <w:t xml:space="preserve">Building on years of experience with a singular focus on addressing connectivity challenges in data-centric systems, we have developed and deployed our leading Intelligent Connectivity Platform built from the ground up for cloud and AI infrastructure. Our Intelligent Connectivity Platform comprises: </w:t>
      </w:r>
    </w:p>
    <w:p>
      <w:pPr>
        <w:pStyle w:val="TextBody"/>
        <w:bidi w:val="0"/>
        <w:spacing w:before="120" w:after="0"/>
        <w:jc w:val="both"/>
        <w:rPr>
          <w:rFonts w:ascii="Times New Roman" w:hAnsi="Times New Roman"/>
          <w:sz w:val="20"/>
        </w:rPr>
      </w:pPr>
      <w:r>
        <w:rPr>
          <w:rFonts w:ascii="Times New Roman" w:hAnsi="Times New Roman"/>
          <w:sz w:val="20"/>
        </w:rPr>
        <w:t xml:space="preserve">i) Semiconductor-based, high-speed, mixed-signal connectivity products that integrate a matrix of microcontrollers and sensors; and </w:t>
      </w:r>
    </w:p>
    <w:p>
      <w:pPr>
        <w:pStyle w:val="TextBody"/>
        <w:bidi w:val="0"/>
        <w:spacing w:before="120" w:after="0"/>
        <w:jc w:val="both"/>
        <w:rPr>
          <w:rFonts w:ascii="Times New Roman" w:hAnsi="Times New Roman"/>
          <w:sz w:val="20"/>
        </w:rPr>
      </w:pPr>
      <w:r>
        <w:rPr>
          <w:rFonts w:ascii="Times New Roman" w:hAnsi="Times New Roman"/>
          <w:sz w:val="20"/>
        </w:rPr>
        <w:t xml:space="preserve">ii) COSMOS, our software suite which is embedded in our connectivity products and integrated into our customers systems. </w:t>
      </w:r>
    </w:p>
    <w:p>
      <w:pPr>
        <w:pStyle w:val="TextBody"/>
        <w:bidi w:val="0"/>
        <w:spacing w:before="240" w:after="0"/>
        <w:jc w:val="both"/>
        <w:rPr>
          <w:rFonts w:ascii="Times New Roman" w:hAnsi="Times New Roman"/>
          <w:sz w:val="20"/>
        </w:rPr>
      </w:pPr>
      <w:r>
        <w:rPr>
          <w:rFonts w:ascii="Times New Roman" w:hAnsi="Times New Roman"/>
          <w:sz w:val="20"/>
        </w:rPr>
        <w:t xml:space="preserve">Our Intelligent Connectivity Platform provides our customers with the ability to deploy and operate high performance cloud and AI infrastructure at scale, addressing an increasingly diverse set of requirements. We provide our connectivity products in various form factors including ICs, boards, and modules. </w:t>
      </w:r>
    </w:p>
    <w:p>
      <w:pPr>
        <w:pStyle w:val="TextBody"/>
        <w:bidi w:val="0"/>
        <w:spacing w:before="240" w:after="0"/>
        <w:jc w:val="both"/>
        <w:rPr>
          <w:rFonts w:ascii="Times New Roman" w:hAnsi="Times New Roman"/>
          <w:sz w:val="20"/>
        </w:rPr>
      </w:pPr>
      <w:r>
        <w:rPr>
          <w:rFonts w:ascii="Times New Roman" w:hAnsi="Times New Roman"/>
          <w:sz w:val="20"/>
        </w:rPr>
        <w:t xml:space="preserve">AI touches many aspects of our daily lives today, from vision processing for autonomous vehicles to speech recognition systems for chatbots. The shift towards the cloud from on-premise computing is rapidly accelerating due to increasing demand for compute-intensive AI workloads that are truly optimized when deployed at cloud scale. </w:t>
      </w:r>
    </w:p>
    <w:p>
      <w:pPr>
        <w:pStyle w:val="TextBody"/>
        <w:bidi w:val="0"/>
        <w:spacing w:before="240" w:after="0"/>
        <w:jc w:val="both"/>
        <w:rPr>
          <w:rFonts w:ascii="Times New Roman" w:hAnsi="Times New Roman"/>
          <w:sz w:val="20"/>
        </w:rPr>
      </w:pPr>
      <w:r>
        <w:rPr>
          <w:rFonts w:ascii="Times New Roman" w:hAnsi="Times New Roman"/>
          <w:sz w:val="20"/>
        </w:rPr>
        <w:t xml:space="preserve">To address the performance and scalability requirements of AI and other compute-intensive applications, hyperscalers have adopted heterogeneous, accelerated computing system architectures within their data centers, which include GPUs and other AI accelerators, such as TPUs, AI processors, custom ASICs, and FPGAs, to target specific workloads. These new system architectures require a connectivity backbone that is significantly faster with lower latency, is robust, and supports cloud scale deployment. </w:t>
      </w:r>
    </w:p>
    <w:p>
      <w:pPr>
        <w:pStyle w:val="TextBody"/>
        <w:bidi w:val="0"/>
        <w:spacing w:before="240" w:after="0"/>
        <w:jc w:val="both"/>
        <w:rPr>
          <w:rFonts w:ascii="Times New Roman" w:hAnsi="Times New Roman"/>
          <w:sz w:val="20"/>
        </w:rPr>
      </w:pPr>
      <w:r>
        <w:rPr>
          <w:rFonts w:ascii="Times New Roman" w:hAnsi="Times New Roman"/>
          <w:sz w:val="20"/>
        </w:rPr>
        <w:t xml:space="preserve">Our patented software-defined platform approach delivers critical connectivity performance, enables flexibility and customization, and supports observability and predictive analytics. This approach efficiently addresses the data, network, and memory bottlenecks, scalability, and other unique infrastructure requirements of our hyperscaler and system OEM customers. </w:t>
      </w:r>
    </w:p>
    <w:p>
      <w:pPr>
        <w:pStyle w:val="TextBody"/>
        <w:bidi w:val="0"/>
        <w:spacing w:before="240" w:after="0"/>
        <w:jc w:val="both"/>
        <w:rPr>
          <w:rFonts w:ascii="Times New Roman" w:hAnsi="Times New Roman"/>
          <w:sz w:val="20"/>
        </w:rPr>
      </w:pPr>
      <w:r>
        <w:rPr>
          <w:rFonts w:ascii="Times New Roman" w:hAnsi="Times New Roman"/>
          <w:sz w:val="20"/>
        </w:rPr>
        <w:t xml:space="preserve">Based on trusted relationships with the leading hyperscalers and collaboration with data center infrastructure suppliers such as NVIDIA, Advanced Micro Devices, Intel, and many others,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Intelligent Connectivity Platform addresses a large and growing TAM of $17.2 billion. Specifically, our technology and product portfolios target the global wired connectivity market, including PCIe and Ethernet, and the CXL memory connectivity controller market. We believe that our TAM will grow to $27.4 billion by 2027, and we expect to address an increasing share of this TAM as we expand the breadth and depth of our product portfolio. See the section titled BusinessOur Market Opportunity for additional information on how we calculate our TAM. </w:t>
      </w:r>
    </w:p>
    <w:p>
      <w:pPr>
        <w:pStyle w:val="TextBody"/>
        <w:bidi w:val="0"/>
        <w:spacing w:before="240" w:after="0"/>
        <w:jc w:val="both"/>
        <w:rPr>
          <w:rFonts w:ascii="Times New Roman" w:hAnsi="Times New Roman"/>
          <w:sz w:val="20"/>
        </w:rPr>
      </w:pPr>
      <w:r>
        <w:rPr>
          <w:rFonts w:ascii="Times New Roman" w:hAnsi="Times New Roman"/>
          <w:sz w:val="20"/>
        </w:rPr>
        <w:t xml:space="preserve">Today, our connectivity solutions are at the heart of major AI platforms deployed worldwide featuring both commercially available GPUs and proprietary AI accelerators. In the last four years, we have successfully introduced three revenue-generating product families across multiple form factors including ICs, boards,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modules, shipping millions of devices across all of the major hyperscalers. Our products, which include Aries PCIe®/CXL Smart DSP Retimers, Taurus Ethernet Smart Cable Modules, and Leo CXL Memory Connectivity Controllers, leverage our ICs that are built upon industry standard connectivity protocols such as PCIe, Ethernet, and CXL to address the growing demand for purpose-built connectivity solutions that solve critical data, network, and memory bottlenecks inherent in cloud and AI infrastructure. </w:t>
      </w:r>
    </w:p>
    <w:p>
      <w:pPr>
        <w:pStyle w:val="TextBody"/>
        <w:bidi w:val="0"/>
        <w:spacing w:before="240" w:after="0"/>
        <w:jc w:val="both"/>
        <w:rPr>
          <w:rFonts w:ascii="Times New Roman" w:hAnsi="Times New Roman"/>
          <w:sz w:val="20"/>
        </w:rPr>
      </w:pPr>
      <w:r>
        <w:rPr>
          <w:rFonts w:ascii="Times New Roman" w:hAnsi="Times New Roman"/>
          <w:sz w:val="20"/>
        </w:rPr>
        <w:t xml:space="preserve">Since our inception, we have created and commercialized first-to-market PCIe, Ethernet, and CXL products, and, with more than 300 design wins, we have become a trusted partner and a proven supplier to our hyperscaler and system OEM customers. We have experienced strong growth since our founding in October 2017, and particularly since the commercial launch of Aries in 2020. Our revenue grew from $79.9 million in 2022 to $115.8 million in 2023, driven by a significant increase in demand for our products. We have made significant investments in the design and development of new products and platform enhancements, and, as a result, we have not yet achieved profitability on an annual basis. We incurred net losses of $58.3 million in 2022 and $26.3 million in 2023.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Proliferation of Cloud Computing </w:t>
      </w:r>
    </w:p>
    <w:p>
      <w:pPr>
        <w:pStyle w:val="TextBody"/>
        <w:bidi w:val="0"/>
        <w:spacing w:before="120" w:after="0"/>
        <w:jc w:val="both"/>
        <w:rPr>
          <w:rFonts w:ascii="Times New Roman" w:hAnsi="Times New Roman"/>
          <w:sz w:val="20"/>
        </w:rPr>
      </w:pPr>
      <w:r>
        <w:rPr>
          <w:rFonts w:ascii="Times New Roman" w:hAnsi="Times New Roman"/>
          <w:sz w:val="20"/>
        </w:rPr>
        <w:t xml:space="preserve">Over the past decade, we have witnessed the rapid global adoption of cloud computing. The emergence of mobile internet has resulted in unprecedented data creation from video, social networking, and advanced collaboration applications requiring the scale of cloud infrastructure versus traditional on-premise computing. The widespread digitalization of tasks across industries and associated exponential growth of data has led to a rapid shift from on-premise to cloud computing. Data generated in the cloud is forecasted by IDC to increase materially, from less than 20% of the worlds data generation in 2022 to 32% by 2027. This shift towards the cloud is rapidly accelerating due to increasing demand for compute-intensive AI workloads that are truly optimized only when deployed at cloud scale. According to DellOro, accelerated servers for AI applications represent the fastest growing segment of the server market with shipments forecasted to expand from 1.2 million servers in 2023 to nearly 3.4 million servers in 2027. </w:t>
      </w:r>
    </w:p>
    <w:p>
      <w:pPr>
        <w:pStyle w:val="TextBody"/>
        <w:bidi w:val="0"/>
        <w:spacing w:before="240" w:after="0"/>
        <w:jc w:val="both"/>
        <w:rPr>
          <w:rFonts w:ascii="Times New Roman" w:hAnsi="Times New Roman"/>
          <w:sz w:val="20"/>
        </w:rPr>
      </w:pPr>
      <w:r>
        <w:rPr>
          <w:rFonts w:ascii="Times New Roman" w:hAnsi="Times New Roman"/>
          <w:sz w:val="20"/>
        </w:rPr>
        <w:t xml:space="preserve">The transition to the cloud has been fueled by the unparalleled ease, flexibility, and security of deploying computing resources at scale, with minimal upfront required capital investment by users. Importantly, the cloud provides enterprises with access to the latest technology and superior computing resources to transform their businesses. The result is improved time-to-market for products and services, and a stronger competitive position versus purchasing computing resources such as servers, storage systems, and networking devices from system OEMs and managing those computing resources themselves in on-premise data centers. </w:t>
      </w:r>
    </w:p>
    <w:p>
      <w:pPr>
        <w:pStyle w:val="TextBody"/>
        <w:bidi w:val="0"/>
        <w:spacing w:before="240" w:after="0"/>
        <w:jc w:val="both"/>
        <w:rPr>
          <w:rFonts w:ascii="Times New Roman" w:hAnsi="Times New Roman"/>
          <w:sz w:val="20"/>
        </w:rPr>
      </w:pPr>
      <w:r>
        <w:rPr>
          <w:rFonts w:ascii="Times New Roman" w:hAnsi="Times New Roman"/>
          <w:sz w:val="20"/>
        </w:rPr>
        <w:t xml:space="preserve">Cloud infrastructure requires highly customized integration. Hyperscalers, which include public cloud service providers such as AWS, GCP, and Microsoft Azure, are diverse and complex. Hyperscalers also include large organizations, such as Meta, and their infrastructure is highly optimized for proprietary workloads that run in their private clouds. Other enterprise companies utilize a hybrid approach, using both public and private clouds to balance scale and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4675" cy="24828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74675" cy="248285"/>
                    </a:xfrm>
                    <a:prstGeom prst="rect">
                      <a:avLst/>
                    </a:prstGeom>
                  </pic:spPr>
                </pic:pic>
              </a:graphicData>
            </a:graphic>
          </wp:inline>
        </w:drawing>
      </w:r>
      <w:r>
        <w:rPr/>
        <w:t xml:space="preserve"> </w:t>
      </w:r>
    </w:p>
    <w:p>
      <w:pPr>
        <w:pStyle w:val="TextBody"/>
        <w:bidi w:val="0"/>
        <w:spacing w:before="480" w:after="0"/>
        <w:jc w:val="both"/>
        <w:rPr>
          <w:rFonts w:ascii="Times New Roman" w:hAnsi="Times New Roman"/>
          <w:sz w:val="20"/>
        </w:rPr>
      </w:pPr>
      <w:r>
        <w:rPr>
          <w:rFonts w:ascii="Times New Roman" w:hAnsi="Times New Roman"/>
          <w:sz w:val="20"/>
        </w:rPr>
        <w:t xml:space="preserve">The proliferation of cloud computing has resulted in several important changes in the semiconductor ecosystem as hyperscalers seek to provide differentiated solutions to their users. </w:t>
      </w:r>
    </w:p>
    <w:p>
      <w:pPr>
        <w:pStyle w:val="TextBody"/>
        <w:bidi w:val="0"/>
        <w:spacing w:before="120" w:after="0"/>
        <w:jc w:val="both"/>
        <w:rPr>
          <w:rFonts w:ascii="Times New Roman" w:hAnsi="Times New Roman"/>
          <w:sz w:val="20"/>
        </w:rPr>
      </w:pPr>
      <w:r>
        <w:rPr>
          <w:rFonts w:ascii="Times New Roman" w:hAnsi="Times New Roman"/>
          <w:i/>
          <w:sz w:val="20"/>
        </w:rPr>
        <w:t xml:space="preserve">Hyperscalers are differentiating with custom hardware and processors. </w:t>
      </w:r>
      <w:r>
        <w:rPr>
          <w:rFonts w:ascii="Times New Roman" w:hAnsi="Times New Roman"/>
          <w:sz w:val="20"/>
        </w:rPr>
        <w:t xml:space="preserve">Hyperscalers are increasingly bringing strategic aspects of cloud hardware in-house, which includes custom server designs, CPUs, and AI accelerators such as TPUs. These custom solutions directly impact and add value for their users. Importantly, their suppliers for connectivity and other technologies must keep pace with the hyperscalers rapid development of custom hardware, and support each of their unique system requirements. </w:t>
      </w:r>
    </w:p>
    <w:p>
      <w:pPr>
        <w:pStyle w:val="TextBody"/>
        <w:bidi w:val="0"/>
        <w:spacing w:before="120" w:after="0"/>
        <w:jc w:val="both"/>
        <w:rPr>
          <w:rFonts w:ascii="Times New Roman" w:hAnsi="Times New Roman"/>
          <w:sz w:val="20"/>
        </w:rPr>
      </w:pPr>
      <w:r>
        <w:rPr>
          <w:rFonts w:ascii="Times New Roman" w:hAnsi="Times New Roman"/>
          <w:i/>
          <w:sz w:val="20"/>
        </w:rPr>
        <w:t xml:space="preserve">Hyperscalers are redefining the technology roadmaps and supply chain requirements of their semiconductor suppliers. </w:t>
      </w:r>
      <w:r>
        <w:rPr>
          <w:rFonts w:ascii="Times New Roman" w:hAnsi="Times New Roman"/>
          <w:sz w:val="20"/>
        </w:rPr>
        <w:t xml:space="preserve">Hyperscalers require that their suppliers products deliver the highest performance across complex and diverse workloads in the cloud. This includes high quality standards such as near-zero defect tolerance and rigorous qualification processes. Furthermore, hyperscalers suppliers must ramp up new products at a rapid pace more akin to what is required for consumer electronics such as smartphones. The combination of these quality standards and ramp up requirements has redefined the product roadmaps and supply chain requirements for semiconductor suppliers. </w:t>
      </w:r>
    </w:p>
    <w:p>
      <w:pPr>
        <w:pStyle w:val="TextBody"/>
        <w:bidi w:val="0"/>
        <w:spacing w:before="120" w:after="0"/>
        <w:jc w:val="both"/>
        <w:rPr>
          <w:rFonts w:ascii="Times New Roman" w:hAnsi="Times New Roman"/>
          <w:sz w:val="20"/>
        </w:rPr>
      </w:pPr>
      <w:r>
        <w:rPr>
          <w:rFonts w:ascii="Times New Roman" w:hAnsi="Times New Roman"/>
          <w:i/>
          <w:sz w:val="20"/>
        </w:rPr>
        <w:t xml:space="preserve">Hyperscalers are laser-focused on server uptime, scaling, and fleet reliability. </w:t>
      </w:r>
      <w:r>
        <w:rPr>
          <w:rFonts w:ascii="Times New Roman" w:hAnsi="Times New Roman"/>
          <w:sz w:val="20"/>
        </w:rPr>
        <w:t xml:space="preserve">Hyperscalers deploy their infrastructure as a service, so uptime and utilization are critical for their businesses. If their servers are idle, underutilized, or worse, offline, hyperscalers financial results are directly impacted. Hyperscalers demand for reliability drives their stringent observability requirements at every level of their operations. </w:t>
      </w:r>
    </w:p>
    <w:p>
      <w:pPr>
        <w:pStyle w:val="TextBody"/>
        <w:bidi w:val="0"/>
        <w:spacing w:before="120" w:after="0"/>
        <w:jc w:val="both"/>
        <w:rPr>
          <w:rFonts w:ascii="Times New Roman" w:hAnsi="Times New Roman"/>
          <w:sz w:val="20"/>
        </w:rPr>
      </w:pPr>
      <w:r>
        <w:rPr>
          <w:rFonts w:ascii="Times New Roman" w:hAnsi="Times New Roman"/>
          <w:i/>
          <w:sz w:val="20"/>
        </w:rPr>
        <w:t xml:space="preserve">Hyperscalers are committed to green data centers and environmental sustainability. </w:t>
      </w:r>
      <w:r>
        <w:rPr>
          <w:rFonts w:ascii="Times New Roman" w:hAnsi="Times New Roman"/>
          <w:sz w:val="20"/>
        </w:rPr>
        <w:t xml:space="preserve">Hyperscalers data centers demand for power and their need for more capacity is growing as quickly as the business and services that the hyperscalers cloud services support. Hyperscalers demand power efficient and environmentally sustainable infrastructure solutions in order to cost-effectively and responsibly address the demand for cloud and AI workloads.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AI is the Era-Defining Technology Driving the Next Generation of Cloud Infrastructure </w:t>
      </w:r>
    </w:p>
    <w:p>
      <w:pPr>
        <w:pStyle w:val="TextBody"/>
        <w:bidi w:val="0"/>
        <w:spacing w:before="120" w:after="0"/>
        <w:jc w:val="both"/>
        <w:rPr>
          <w:rFonts w:ascii="Times New Roman" w:hAnsi="Times New Roman"/>
          <w:sz w:val="20"/>
        </w:rPr>
      </w:pPr>
      <w:r>
        <w:rPr>
          <w:rFonts w:ascii="Times New Roman" w:hAnsi="Times New Roman"/>
          <w:sz w:val="20"/>
        </w:rPr>
        <w:t xml:space="preserve">AI touches many aspects of our daily lives today, from vision processing for autonomous vehicles to speech recognition systems for chatbots. According to IDC, by 2025, the Global 2000 organizations will allocate over 40% of their core IT spend to AI-related initiatives, leading to a double-digit increase in the rate of product and process innovations. Hyperscalers customer demand for AI and other compute-intensive applications such as data analytics, scientific computing, recommendation engines and, most recently, GenAI are rapidly driving an increased need for accelerated computing since conventional computing takes too long and is too expensive. GenAI is a type of AI that can create new content, such as images, videos, audio, text, and 3D models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requires a massive increase in computing resources. According to Gartner®, by 2025, cloud-native platforms will serve as the foundation for more than 95% of new digital initiatives, up from less than 40% in 2021. This trend is largely driven by a significant increase in AI workloads. </w:t>
      </w:r>
    </w:p>
    <w:p>
      <w:pPr>
        <w:pStyle w:val="TextBody"/>
        <w:bidi w:val="0"/>
        <w:spacing w:before="240" w:after="0"/>
        <w:jc w:val="both"/>
        <w:rPr>
          <w:rFonts w:ascii="Times New Roman" w:hAnsi="Times New Roman"/>
          <w:sz w:val="20"/>
        </w:rPr>
      </w:pPr>
      <w:r>
        <w:rPr>
          <w:rFonts w:ascii="Times New Roman" w:hAnsi="Times New Roman"/>
          <w:sz w:val="20"/>
        </w:rPr>
        <w:t xml:space="preserve">Recent GenAI advances, as demonstrated by the launch of ChatGPT by OpenAI in late 2022, have shown the unprecedented capabilities and immense potential for training LLMs to enhance applications across industries. As with other technologies of the digital era, the speed of these advancements outpaces the rate of commercial and consumer adoption while enterprises determine if and how to leverage AI based solutions to replace existing solutions and consumers determine if and how they will accept AI based solutions. Furthermore, regulators and lawmakers around the world have started to propose and adopt regulations and guidance on the use of AI. Notwithstanding these challenges and uncertainties, according to IDC, GenAI has the potential to drive massive workforce productivity and create up to $10 trillion of value for the global economy by 2033. </w:t>
      </w:r>
    </w:p>
    <w:p>
      <w:pPr>
        <w:pStyle w:val="TextBody"/>
        <w:bidi w:val="0"/>
        <w:spacing w:before="240" w:after="0"/>
        <w:jc w:val="both"/>
        <w:rPr>
          <w:rFonts w:ascii="Times New Roman" w:hAnsi="Times New Roman"/>
          <w:sz w:val="20"/>
        </w:rPr>
      </w:pPr>
      <w:r>
        <w:rPr>
          <w:rFonts w:ascii="Times New Roman" w:hAnsi="Times New Roman"/>
          <w:sz w:val="20"/>
        </w:rPr>
        <w:t xml:space="preserve">According to NVIDIA, the latest GenAI models have up to 1 trillion parameters and are trained upon trillions of training tokens (i.e., data inputs). These GenAI models continue to increase in size and complexity. For example, in October 2021, Microsoft and NVIDIA announced the Megatron-Turing NLG model with 530 billion parameters. Just a few months later, in April 2022, Google published a research paper mentioning a trillion parameters for GenAI models. Doubling in model size typically requires an approximately 10x increase in computing capability. Given their massive need for computing, GenAI is only practical at cloud scale.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51815" cy="36385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51815" cy="363855"/>
                    </a:xfrm>
                    <a:prstGeom prst="rect">
                      <a:avLst/>
                    </a:prstGeom>
                  </pic:spPr>
                </pic:pic>
              </a:graphicData>
            </a:graphic>
          </wp:inline>
        </w:drawing>
      </w:r>
      <w:r>
        <w:rPr/>
        <w:t xml:space="preserve"> </w:t>
      </w:r>
    </w:p>
    <w:p>
      <w:pPr>
        <w:pStyle w:val="TextBody"/>
        <w:bidi w:val="0"/>
        <w:spacing w:before="480" w:after="0"/>
        <w:jc w:val="both"/>
        <w:rPr>
          <w:rFonts w:ascii="Times New Roman" w:hAnsi="Times New Roman"/>
          <w:sz w:val="20"/>
        </w:rPr>
      </w:pPr>
      <w:r>
        <w:rPr>
          <w:rFonts w:ascii="Times New Roman" w:hAnsi="Times New Roman"/>
          <w:sz w:val="20"/>
        </w:rPr>
        <w:t xml:space="preserve">To address the performance and scalability requirements of AI and other compute-intensive applications, hyperscalers have adopted heterogeneous, accelerated computing architectures to target specific workloads. AI accelerators such as GPUs, TPUs, and FPGAs, with their massively parallel compute engines and high bandwidth connectivity to memory and data, are foundational to the AI infrastructure. A typical accelerated computing server consists of multiple AI accelerators (for example, eight in NVIDIAs HGX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connected to a head node which comprises CPUs (two in NVIDIAs DGX platform), together with multiple NICs (ten in NVIDIAs DGX). To address increasingly larger and more complex AI workloads, hyperscalers interconnect tens of thousands of GPUs and other AI accelerators that process workloads in parallel across thousands of servers to increase system compute capacity. Put simply, the data center has become the modern computer for AI workloads.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Connectivity Solutions are Inadequate to Deploy AI Infrastructure at Cloud Scale </w:t>
      </w:r>
    </w:p>
    <w:p>
      <w:pPr>
        <w:pStyle w:val="TextBody"/>
        <w:bidi w:val="0"/>
        <w:spacing w:before="120" w:after="0"/>
        <w:jc w:val="both"/>
        <w:rPr>
          <w:rFonts w:ascii="Times New Roman" w:hAnsi="Times New Roman"/>
          <w:sz w:val="20"/>
        </w:rPr>
      </w:pPr>
      <w:r>
        <w:rPr>
          <w:rFonts w:ascii="Times New Roman" w:hAnsi="Times New Roman"/>
          <w:sz w:val="20"/>
        </w:rPr>
        <w:t xml:space="preserve">GPUs and other AI accelerators are often the most expensive and scarce part of data centers. According to SemiAnalysis, AI accelerators constitute more than 70% of the bill-of-materials (BOM) for AI servers. AI accelerators are efficient at computing, challenging the rest of the cloud and AI infrastructure to effectively transport data to and from them to maximize their utilization. However, GPUs and other AI accelerators often sit idle waiting for data to become available. Increasing the utilization of AI accelerators presents a large challenge as well as a massive opportunity for connectivity suppliers. </w:t>
      </w:r>
    </w:p>
    <w:p>
      <w:pPr>
        <w:pStyle w:val="TextBody"/>
        <w:bidi w:val="0"/>
        <w:spacing w:before="240" w:after="0"/>
        <w:jc w:val="both"/>
        <w:rPr>
          <w:rFonts w:ascii="Times New Roman" w:hAnsi="Times New Roman"/>
          <w:sz w:val="20"/>
        </w:rPr>
      </w:pPr>
      <w:r>
        <w:rPr>
          <w:rFonts w:ascii="Times New Roman" w:hAnsi="Times New Roman"/>
          <w:sz w:val="20"/>
        </w:rPr>
        <w:t xml:space="preserve">Purpose-built connectivity solutions that connect GPUs and other AI accelerators with each other directly or between servers are required to unleash AI accelerators full potential at cloud scale and solve the following critical data, network, and memory bottlenecks: </w:t>
      </w:r>
    </w:p>
    <w:p>
      <w:pPr>
        <w:pStyle w:val="TextBody"/>
        <w:bidi w:val="0"/>
        <w:spacing w:before="120" w:after="0"/>
        <w:jc w:val="both"/>
        <w:rPr>
          <w:rFonts w:ascii="Times New Roman" w:hAnsi="Times New Roman"/>
          <w:sz w:val="20"/>
        </w:rPr>
      </w:pPr>
      <w:r>
        <w:rPr>
          <w:rFonts w:ascii="Times New Roman" w:hAnsi="Times New Roman"/>
          <w:b/>
          <w:i/>
          <w:sz w:val="20"/>
        </w:rPr>
        <w:t>Data and network bandwidth bottlenecks</w:t>
      </w:r>
      <w:r>
        <w:rPr>
          <w:rFonts w:ascii="Times New Roman" w:hAnsi="Times New Roman"/>
          <w:sz w:val="20"/>
        </w:rPr>
        <w:t xml:space="preserve">. The connectivity between GPUs, other AI accelerators, CPUs, storage devices, and networking subsystems in an AI platform must deliver ever-increasing bandwidth. The connectivity topology also changes from a hierarchical network where a server connects to a switch, to a fabric network where AI accelerators connect to each other directly within an AI cluster. This dense fabric connectivity is required since every AI accelerator needs full bandwidth and low latency access to each other. The net result is the number of high-speed links in an AI cluster is growing rapidly. For example, in an NVIDIA GH200 cluster, we estimate that there are 15 high-speed links per AI accelerator. </w:t>
      </w:r>
    </w:p>
    <w:p>
      <w:pPr>
        <w:pStyle w:val="TextBody"/>
        <w:bidi w:val="0"/>
        <w:spacing w:before="0" w:after="0"/>
        <w:jc w:val="left"/>
        <w:rPr/>
      </w:pPr>
      <w:r>
        <w:rPr/>
        <w:t> </w:t>
      </w:r>
    </w:p>
    <w:p>
      <w:pPr>
        <w:pStyle w:val="TextBody"/>
        <w:bidi w:val="0"/>
        <w:spacing w:before="0" w:after="0"/>
        <w:jc w:val="center"/>
        <w:rPr/>
      </w:pPr>
      <w:r>
        <w:rPr/>
        <w:drawing>
          <wp:inline distT="0" distB="0" distL="0" distR="0">
            <wp:extent cx="553720" cy="23685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53720" cy="2368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GPUs and other AI accelerators are connected to each other and to system devices over different protocols. There are vendor-specific protocols such as NVLink and InfiniBand that exist alongside other industry standard protocols such as PCIe, Ethernet, and CXL. In response to the insatiable demand for interconnect performance, standards bodies such as The Institute of Electrical and Electronics Engineers (IEEE), the PCI-Special Interest Group (PCI-SIG), and the CXL Consortium are fast tracking the release of new generations of specifications with far greater data rates, bandwidth, and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PCIe</w:t>
      </w:r>
      <w:r>
        <w:rPr>
          <w:rFonts w:ascii="Times New Roman" w:hAnsi="Times New Roman"/>
          <w:i/>
          <w:sz w:val="20"/>
        </w:rPr>
        <w:t xml:space="preserve">. </w:t>
      </w:r>
      <w:r>
        <w:rPr>
          <w:rFonts w:ascii="Times New Roman" w:hAnsi="Times New Roman"/>
          <w:sz w:val="20"/>
        </w:rPr>
        <w:t xml:space="preserve">The PCIe interface is native to GPUs and other AI accelerators, CPUs, solid-state storage devices, and NICs, and is by far the most prevalent protocol for moving data at high-bandwidth and low latency inside a server. The latest PCIe 5.0 deployed solutions support up to 32Gbps/lane, and data rates have doubled since the last version. </w:t>
      </w:r>
    </w:p>
    <w:p>
      <w:pPr>
        <w:pStyle w:val="TextBody"/>
        <w:bidi w:val="0"/>
        <w:spacing w:before="120" w:after="0"/>
        <w:jc w:val="both"/>
        <w:rPr>
          <w:rFonts w:ascii="Times New Roman" w:hAnsi="Times New Roman"/>
          <w:sz w:val="20"/>
        </w:rPr>
      </w:pPr>
      <w:r>
        <w:rPr>
          <w:rFonts w:ascii="Times New Roman" w:hAnsi="Times New Roman"/>
          <w:b/>
          <w:i/>
          <w:sz w:val="20"/>
        </w:rPr>
        <w:t>Ethernet</w:t>
      </w:r>
      <w:r>
        <w:rPr>
          <w:rFonts w:ascii="Times New Roman" w:hAnsi="Times New Roman"/>
          <w:i/>
          <w:sz w:val="20"/>
        </w:rPr>
        <w:t xml:space="preserve">. </w:t>
      </w:r>
      <w:r>
        <w:rPr>
          <w:rFonts w:ascii="Times New Roman" w:hAnsi="Times New Roman"/>
          <w:sz w:val="20"/>
        </w:rPr>
        <w:t xml:space="preserve">Ethernet connects servers to ToR switches, and switches to each other in a hierarchical structure to build large scale networks within data centers. The latest deployed high speed Ethernet ports support up to 100Gbps/lane, and data rates have also been doubling roughly every two years. </w:t>
      </w:r>
    </w:p>
    <w:p>
      <w:pPr>
        <w:pStyle w:val="TextBody"/>
        <w:bidi w:val="0"/>
        <w:spacing w:before="120" w:after="0"/>
        <w:jc w:val="both"/>
        <w:rPr>
          <w:rFonts w:ascii="Times New Roman" w:hAnsi="Times New Roman"/>
          <w:sz w:val="20"/>
        </w:rPr>
      </w:pPr>
      <w:r>
        <w:rPr>
          <w:rFonts w:ascii="Times New Roman" w:hAnsi="Times New Roman"/>
          <w:b/>
          <w:i/>
          <w:sz w:val="20"/>
        </w:rPr>
        <w:t>CXL</w:t>
      </w:r>
      <w:r>
        <w:rPr>
          <w:rFonts w:ascii="Times New Roman" w:hAnsi="Times New Roman"/>
          <w:i/>
          <w:sz w:val="20"/>
        </w:rPr>
        <w:t xml:space="preserve">. </w:t>
      </w:r>
      <w:r>
        <w:rPr>
          <w:rFonts w:ascii="Times New Roman" w:hAnsi="Times New Roman"/>
          <w:sz w:val="20"/>
        </w:rPr>
        <w:t xml:space="preserve">CXL is a cache-coherent protocol which is built on top of PCIe interfaces and operates at the same data rates as PCIe. CXL is defined to optimize low latency connectivity both amongst AI accelerators in a fabric network, and to CPUs. </w:t>
      </w:r>
    </w:p>
    <w:p>
      <w:pPr>
        <w:pStyle w:val="TextBody"/>
        <w:bidi w:val="0"/>
        <w:spacing w:before="120" w:after="0"/>
        <w:jc w:val="both"/>
        <w:rPr>
          <w:rFonts w:ascii="Times New Roman" w:hAnsi="Times New Roman"/>
          <w:sz w:val="20"/>
        </w:rPr>
      </w:pPr>
      <w:r>
        <w:rPr>
          <w:rFonts w:ascii="Times New Roman" w:hAnsi="Times New Roman"/>
          <w:b/>
          <w:i/>
          <w:sz w:val="20"/>
        </w:rPr>
        <w:t>Exploding signal integrity challenges</w:t>
      </w:r>
      <w:r>
        <w:rPr>
          <w:rFonts w:ascii="Times New Roman" w:hAnsi="Times New Roman"/>
          <w:sz w:val="20"/>
        </w:rPr>
        <w:t xml:space="preserve">. Data transfer rates across all protocols have been rapidly growing to support compute-intensive workloads, and the physical size of AI server clusters has grown as well, compounding the signal integrity problem. In AI servers, signals must travel farther distances at faster rates which results in a loss of signal fidelity and reduced link performance.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1051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77850" cy="3105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Memory wall</w:t>
      </w:r>
      <w:r>
        <w:rPr>
          <w:rFonts w:ascii="Times New Roman" w:hAnsi="Times New Roman"/>
          <w:sz w:val="20"/>
        </w:rPr>
        <w:t xml:space="preserve">. The term memory wall was first theorized in the mid-1990s to define what was becoming an obvious problem at the time: CPU performance had outpaced the ability for memory subsystems to provide them with data and memory access, thereby limiting computing performance. Thirty years later, this statement still holds true, especially with respect to memory-intensive applications such as AI where training LLMs on big datasets in a reasonable timeframe requires ultra-fast memory bandwidth and significant memory capacity. </w:t>
      </w:r>
    </w:p>
    <w:p>
      <w:pPr>
        <w:pStyle w:val="TextBody"/>
        <w:bidi w:val="0"/>
        <w:spacing w:before="0" w:after="0"/>
        <w:jc w:val="left"/>
        <w:rPr/>
      </w:pPr>
      <w:r>
        <w:rPr/>
        <w:t> </w:t>
      </w:r>
    </w:p>
    <w:p>
      <w:pPr>
        <w:pStyle w:val="TextBody"/>
        <w:bidi w:val="0"/>
        <w:spacing w:before="0" w:after="0"/>
        <w:jc w:val="center"/>
        <w:rPr/>
      </w:pPr>
      <w:r>
        <w:rPr/>
        <w:drawing>
          <wp:inline distT="0" distB="0" distL="0" distR="0">
            <wp:extent cx="528320" cy="11176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28320" cy="111760"/>
                    </a:xfrm>
                    <a:prstGeom prst="rect">
                      <a:avLst/>
                    </a:prstGeom>
                  </pic:spPr>
                </pic:pic>
              </a:graphicData>
            </a:graphic>
          </wp:inline>
        </w:drawing>
      </w:r>
      <w:r>
        <w:rPr/>
        <w:t xml:space="preserve"> </w:t>
      </w:r>
    </w:p>
    <w:p>
      <w:pPr>
        <w:pStyle w:val="TextBody"/>
        <w:bidi w:val="0"/>
        <w:spacing w:before="600" w:after="0"/>
        <w:jc w:val="both"/>
        <w:rPr>
          <w:rFonts w:ascii="Times New Roman" w:hAnsi="Times New Roman"/>
          <w:sz w:val="20"/>
        </w:rPr>
      </w:pPr>
      <w:r>
        <w:rPr>
          <w:rFonts w:ascii="Times New Roman" w:hAnsi="Times New Roman"/>
          <w:sz w:val="20"/>
        </w:rPr>
        <w:t xml:space="preserve">AI models need to be accessed and updated rapidly by all of the GPUs and other AI accelerators in a cluster, requiring model parameters to be stored in quickly accessible HBM. However, large AI models such as LLMs often cannot fit into a single AI accelerators memory subsystem. A commonly deployed solution is to divide the AI model into small pieces that can each fit in a single AI accelerator memory subsystem and then interconnect many such AI accelerators to hold the entire AI model in their combined memory. GPUs and other AI accelerators need to be networked together at multi-terabit per second speeds so they can seamlessly access each others memory subsystems. Modern connectivity devices allow for the addition of a fast memory tier to each AI accelerator, providing terabytes of capacity at nanosecond level latencies. In addition, CXL is being adopted within the data center to address declining memory bandwidth per core in modern CPUs, and to enable expansion, pooling, and sharing of memory across AI accelerators in a heterogeneous computing system. </w:t>
      </w:r>
    </w:p>
    <w:p>
      <w:pPr>
        <w:pStyle w:val="TextBody"/>
        <w:bidi w:val="0"/>
        <w:spacing w:before="120" w:after="0"/>
        <w:jc w:val="both"/>
        <w:rPr>
          <w:rFonts w:ascii="Times New Roman" w:hAnsi="Times New Roman"/>
          <w:sz w:val="20"/>
        </w:rPr>
      </w:pPr>
      <w:r>
        <w:rPr>
          <w:rFonts w:ascii="Times New Roman" w:hAnsi="Times New Roman"/>
          <w:b/>
          <w:i/>
          <w:sz w:val="20"/>
        </w:rPr>
        <w:t>Interconnect reliability and observability</w:t>
      </w:r>
      <w:r>
        <w:rPr>
          <w:rFonts w:ascii="Times New Roman" w:hAnsi="Times New Roman"/>
          <w:i/>
          <w:sz w:val="20"/>
        </w:rPr>
        <w:t xml:space="preserve">. </w:t>
      </w:r>
      <w:r>
        <w:rPr>
          <w:rFonts w:ascii="Times New Roman" w:hAnsi="Times New Roman"/>
          <w:sz w:val="20"/>
        </w:rPr>
        <w:t xml:space="preserve">Given the massive parallelization of AI workloads across AI accelerators, the progress made by the AI cluster is highly dependent upon each AI accelerator performing flawlessly. When a single server or a single AI accelerator fails, or the network connecting them does not transfer data reliably, the entire AI server cluster will typically stop, re-synchronize, and restart, reducing infrastructure utilization, and increasing the time and cost required to train AI models.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56260" cy="22669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56260" cy="2266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Cloud and AI infrastructure diversity drives connectivity solution complexity</w:t>
      </w:r>
      <w:r>
        <w:rPr>
          <w:rFonts w:ascii="Times New Roman" w:hAnsi="Times New Roman"/>
          <w:i/>
          <w:sz w:val="20"/>
        </w:rPr>
        <w:t xml:space="preserve">. </w:t>
      </w:r>
      <w:r>
        <w:rPr>
          <w:rFonts w:ascii="Times New Roman" w:hAnsi="Times New Roman"/>
          <w:sz w:val="20"/>
        </w:rPr>
        <w:t xml:space="preserve">Hyperscalers optimize their cloud infrastructure to meet the unique requirements of their users and internal business models. The system architecture, and therefore the connectivity subsystem needs, tend to be different between cloud infrastructure deployments. This requires customization and flexibility to support a wide range of use cases. </w:t>
      </w:r>
    </w:p>
    <w:p>
      <w:pPr>
        <w:pStyle w:val="TextBody"/>
        <w:bidi w:val="0"/>
        <w:spacing w:before="240" w:after="0"/>
        <w:jc w:val="both"/>
        <w:rPr>
          <w:rFonts w:ascii="Times New Roman" w:hAnsi="Times New Roman"/>
          <w:sz w:val="20"/>
        </w:rPr>
      </w:pPr>
      <w:r>
        <w:rPr>
          <w:rFonts w:ascii="Times New Roman" w:hAnsi="Times New Roman"/>
          <w:sz w:val="20"/>
        </w:rPr>
        <w:t xml:space="preserve">The bottleneck for AI deployments in the cloud has shifted from computing performance to connectivity. We believe a new approach for connectivity is required to address the data, network, and memory bottlenecks in a reliable, scalable, customizable, and interoperable manner for cloud and AI infrastructure.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Our Solution </w:t>
      </w:r>
    </w:p>
    <w:p>
      <w:pPr>
        <w:pStyle w:val="TextBody"/>
        <w:bidi w:val="0"/>
        <w:spacing w:before="120" w:after="0"/>
        <w:jc w:val="both"/>
        <w:rPr>
          <w:rFonts w:ascii="Times New Roman" w:hAnsi="Times New Roman"/>
          <w:sz w:val="20"/>
        </w:rPr>
      </w:pPr>
      <w:r>
        <w:rPr>
          <w:rFonts w:ascii="Times New Roman" w:hAnsi="Times New Roman"/>
          <w:sz w:val="20"/>
        </w:rPr>
        <w:t xml:space="preserve">Building on years of experience with a singular focus on addressing connectivity challenges in data-centric systems, we have developed and deployed our leading Intelligent Connectivity Platform, built from the ground-up to unleash the full potential of cloud and AI infrastructure. Our Intelligent Connectivity Platform comprises: </w:t>
      </w:r>
    </w:p>
    <w:p>
      <w:pPr>
        <w:pStyle w:val="TextBody"/>
        <w:bidi w:val="0"/>
        <w:spacing w:before="120" w:after="0"/>
        <w:jc w:val="both"/>
        <w:rPr>
          <w:rFonts w:ascii="Times New Roman" w:hAnsi="Times New Roman"/>
          <w:sz w:val="20"/>
        </w:rPr>
      </w:pPr>
      <w:r>
        <w:rPr>
          <w:rFonts w:ascii="Times New Roman" w:hAnsi="Times New Roman"/>
          <w:sz w:val="20"/>
        </w:rPr>
        <w:t xml:space="preserve">i) Semiconductor-based, high-speed, mixed-signal connectivity products that include a matrix of microcontrollers and sensors to monitor link performance; and </w:t>
      </w:r>
    </w:p>
    <w:p>
      <w:pPr>
        <w:pStyle w:val="TextBody"/>
        <w:bidi w:val="0"/>
        <w:spacing w:before="120" w:after="0"/>
        <w:jc w:val="both"/>
        <w:rPr>
          <w:rFonts w:ascii="Times New Roman" w:hAnsi="Times New Roman"/>
          <w:sz w:val="20"/>
        </w:rPr>
      </w:pPr>
      <w:r>
        <w:rPr>
          <w:rFonts w:ascii="Times New Roman" w:hAnsi="Times New Roman"/>
          <w:sz w:val="20"/>
        </w:rPr>
        <w:t xml:space="preserve">ii) COSMOS, our software suite, which is embedded in our connectivity products and integrated into our customers systems. </w:t>
      </w:r>
    </w:p>
    <w:p>
      <w:pPr>
        <w:pStyle w:val="TextBody"/>
        <w:bidi w:val="0"/>
        <w:spacing w:before="240" w:after="0"/>
        <w:jc w:val="both"/>
        <w:rPr>
          <w:rFonts w:ascii="Times New Roman" w:hAnsi="Times New Roman"/>
          <w:sz w:val="20"/>
        </w:rPr>
      </w:pPr>
      <w:r>
        <w:rPr>
          <w:rFonts w:ascii="Times New Roman" w:hAnsi="Times New Roman"/>
          <w:sz w:val="20"/>
        </w:rPr>
        <w:t xml:space="preserve">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ICs, boards, and modules.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66420" cy="292735"/>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66420" cy="292735"/>
                    </a:xfrm>
                    <a:prstGeom prst="rect">
                      <a:avLst/>
                    </a:prstGeom>
                  </pic:spPr>
                </pic:pic>
              </a:graphicData>
            </a:graphic>
          </wp:inline>
        </w:drawing>
      </w:r>
      <w:r>
        <w:rPr/>
        <w:t xml:space="preserve"> </w:t>
      </w:r>
    </w:p>
    <w:p>
      <w:pPr>
        <w:pStyle w:val="TextBody"/>
        <w:bidi w:val="0"/>
        <w:spacing w:before="480" w:after="0"/>
        <w:jc w:val="both"/>
        <w:rPr>
          <w:rFonts w:ascii="Times New Roman" w:hAnsi="Times New Roman"/>
          <w:sz w:val="20"/>
        </w:rPr>
      </w:pPr>
      <w:r>
        <w:rPr>
          <w:rFonts w:ascii="Times New Roman" w:hAnsi="Times New Roman"/>
          <w:sz w:val="20"/>
        </w:rPr>
        <w:t xml:space="preserve">Our patented software-defined platform approach delivers critical connectivity performance, enables flexibility and customization, and supports observability and predictive analytics. We enhance the value of our platform with our Interop Lab, where we validate performance and interoperability between our connectivity products and other data center infrastructure suppliers products in real-world scenarios. Our approach is key to efficiently address the data, network, and memory bottlenecks, scalability, customizability and interoperability requirements of hyperscalers.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80390" cy="33147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80390" cy="33147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w:t>
      </w:r>
    </w:p>
    <w:p>
      <w:pPr>
        <w:pStyle w:val="TextBody"/>
        <w:bidi w:val="0"/>
        <w:spacing w:before="120" w:after="0"/>
        <w:jc w:val="both"/>
        <w:rPr>
          <w:rFonts w:ascii="Times New Roman" w:hAnsi="Times New Roman"/>
          <w:sz w:val="20"/>
        </w:rPr>
      </w:pPr>
      <w:r>
        <w:rPr>
          <w:rFonts w:ascii="Times New Roman" w:hAnsi="Times New Roman"/>
          <w:sz w:val="20"/>
        </w:rPr>
        <w:t xml:space="preserve">In the last four years, we have successfully introduced three revenue-generating product families across multiple form factors including ICs, boards, and modules that are built upon our software-defined IC architecture: </w:t>
      </w:r>
    </w:p>
    <w:p>
      <w:pPr>
        <w:pStyle w:val="TextBody"/>
        <w:bidi w:val="0"/>
        <w:spacing w:before="120" w:after="0"/>
        <w:jc w:val="both"/>
        <w:rPr>
          <w:rFonts w:ascii="Times New Roman" w:hAnsi="Times New Roman"/>
          <w:sz w:val="20"/>
        </w:rPr>
      </w:pPr>
      <w:r>
        <w:rPr>
          <w:rFonts w:ascii="Times New Roman" w:hAnsi="Times New Roman"/>
          <w:b/>
          <w:i/>
          <w:sz w:val="20"/>
        </w:rPr>
        <w:t>Aries PCIe®/CXL</w:t>
      </w:r>
      <w:r>
        <w:rPr>
          <w:rFonts w:ascii="Times New Roman" w:hAnsi="Times New Roman"/>
          <w:sz w:val="20"/>
        </w:rPr>
        <w:t xml:space="preserve"> </w:t>
      </w:r>
      <w:r>
        <w:rPr>
          <w:rFonts w:ascii="Times New Roman" w:hAnsi="Times New Roman"/>
          <w:b/>
          <w:i/>
          <w:sz w:val="20"/>
        </w:rPr>
        <w:t xml:space="preserve">Smart DSP Retimers. </w:t>
      </w:r>
      <w:r>
        <w:rPr>
          <w:rFonts w:ascii="Times New Roman" w:hAnsi="Times New Roman"/>
          <w:sz w:val="20"/>
        </w:rPr>
        <w:t xml:space="preserve">Our Aries products, which include our COSMOS software suite, are essential to enable higher PCIe/CXL data bandwidth and lower latency interconnectivity between various heterogeneous compute processors, storage, and network controllers. Aries digitally recovers degraded high-speed signals and retransmits a clean copy of the data, thereby extending the reach of existing cost-effective interconnects, while enabling higher data bandwidth. </w:t>
      </w:r>
    </w:p>
    <w:p>
      <w:pPr>
        <w:pStyle w:val="TextBody"/>
        <w:bidi w:val="0"/>
        <w:spacing w:before="120" w:after="0"/>
        <w:jc w:val="both"/>
        <w:rPr>
          <w:rFonts w:ascii="Times New Roman" w:hAnsi="Times New Roman"/>
          <w:sz w:val="20"/>
        </w:rPr>
      </w:pPr>
      <w:r>
        <w:rPr>
          <w:rFonts w:ascii="Times New Roman" w:hAnsi="Times New Roman"/>
          <w:b/>
          <w:i/>
          <w:sz w:val="20"/>
        </w:rPr>
        <w:t xml:space="preserve">Taurus Ethernet Smart Cable Modules. </w:t>
      </w:r>
      <w:r>
        <w:rPr>
          <w:rFonts w:ascii="Times New Roman" w:hAnsi="Times New Roman"/>
          <w:sz w:val="20"/>
        </w:rPr>
        <w:t xml:space="preserve">Our Taurus products are hardware modules based on our Taurus ICs that increase network connectivity bandwidth between servers and switches over copper media. Taurus modules incorporate our COSMOS software suite and extend Ethernet signaling reach at higher data rates, providing cost-effective, rack-level network connectivity for cloud and AI infrastructure, removing rack-level Ethernet connectivity bottlenecks.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 xml:space="preserve">Leo CXL Memory Connectivity Controllers. </w:t>
      </w:r>
      <w:r>
        <w:rPr>
          <w:rFonts w:ascii="Times New Roman" w:hAnsi="Times New Roman"/>
          <w:sz w:val="20"/>
        </w:rPr>
        <w:t xml:space="preserve">Our Leo products allow our customers to overcome processor memory bandwidth bottlenecks and capacity limitations, while leveraging our COSMOS software suites built-in memory management and deep diagnostic capabilities. Leo ICs and boards enable expanding, sharing, and pooling of industry standard DRAM memory over high-speed serial links to support memory-intensive workloads running on AI accelerators and CPUs.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5945" cy="30162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5945" cy="301625"/>
                    </a:xfrm>
                    <a:prstGeom prst="rect">
                      <a:avLst/>
                    </a:prstGeom>
                  </pic:spPr>
                </pic:pic>
              </a:graphicData>
            </a:graphic>
          </wp:inline>
        </w:drawing>
      </w:r>
      <w:r>
        <w:rPr/>
        <w:t xml:space="preserve"> </w:t>
      </w:r>
    </w:p>
    <w:p>
      <w:pPr>
        <w:pStyle w:val="TextBody"/>
        <w:bidi w:val="0"/>
        <w:spacing w:before="480" w:after="0"/>
        <w:jc w:val="left"/>
        <w:rPr>
          <w:rFonts w:ascii="Times New Roman" w:hAnsi="Times New Roman"/>
          <w:b/>
          <w:i/>
          <w:sz w:val="20"/>
        </w:rPr>
      </w:pPr>
      <w:r>
        <w:rPr>
          <w:rFonts w:ascii="Times New Roman" w:hAnsi="Times New Roman"/>
          <w:b/>
          <w:i/>
          <w:sz w:val="20"/>
        </w:rPr>
        <w:t xml:space="preserve">COSMOS Software Suite </w:t>
      </w:r>
    </w:p>
    <w:p>
      <w:pPr>
        <w:pStyle w:val="TextBody"/>
        <w:bidi w:val="0"/>
        <w:spacing w:before="120" w:after="0"/>
        <w:jc w:val="both"/>
        <w:rPr>
          <w:rFonts w:ascii="Times New Roman" w:hAnsi="Times New Roman"/>
          <w:sz w:val="20"/>
        </w:rPr>
      </w:pPr>
      <w:r>
        <w:rPr>
          <w:rFonts w:ascii="Times New Roman" w:hAnsi="Times New Roman"/>
          <w:sz w:val="20"/>
        </w:rPr>
        <w:t xml:space="preserve">Our COnnectivity System Management and Optimization Software, or COSMOS software suite, is foundational to our Intelligent Connectivity Platform. COSMOS is designed to enable our hyperscaler customers to seamlessly configure, manage, monitor, optimize, troubleshoot, and customize functions in our IC, board, and module products. COSMOS has a software component that operates on our customers BMC, SMC, BIOS, and/or operating system, and interfaces with other COSMOS software components running on microcontrollers integrated into our ICs, boards, and modules. </w:t>
      </w:r>
    </w:p>
    <w:p>
      <w:pPr>
        <w:pStyle w:val="TextBody"/>
        <w:bidi w:val="0"/>
        <w:spacing w:before="240" w:after="0"/>
        <w:jc w:val="both"/>
        <w:rPr>
          <w:rFonts w:ascii="Times New Roman" w:hAnsi="Times New Roman"/>
          <w:sz w:val="20"/>
        </w:rPr>
      </w:pPr>
      <w:r>
        <w:rPr>
          <w:rFonts w:ascii="Times New Roman" w:hAnsi="Times New Roman"/>
          <w:sz w:val="20"/>
        </w:rPr>
        <w:t xml:space="preserve">Our software suite provides three distinct capabilities to our customers: </w:t>
      </w:r>
    </w:p>
    <w:p>
      <w:pPr>
        <w:pStyle w:val="TextBody"/>
        <w:bidi w:val="0"/>
        <w:spacing w:before="120" w:after="0"/>
        <w:jc w:val="both"/>
        <w:rPr>
          <w:rFonts w:ascii="Times New Roman" w:hAnsi="Times New Roman"/>
          <w:sz w:val="20"/>
        </w:rPr>
      </w:pPr>
      <w:r>
        <w:rPr>
          <w:rFonts w:ascii="Times New Roman" w:hAnsi="Times New Roman"/>
          <w:b/>
          <w:i/>
          <w:sz w:val="20"/>
        </w:rPr>
        <w:t>Link Management</w:t>
      </w:r>
      <w:r>
        <w:rPr>
          <w:rFonts w:ascii="Times New Roman" w:hAnsi="Times New Roman"/>
          <w:i/>
          <w:sz w:val="20"/>
        </w:rPr>
        <w:t xml:space="preserve">. </w:t>
      </w:r>
      <w:r>
        <w:rPr>
          <w:rFonts w:ascii="Times New Roman" w:hAnsi="Times New Roman"/>
          <w:sz w:val="20"/>
        </w:rPr>
        <w:t xml:space="preserve">A critical purpose of COSMOS is to ensure secure and robust data link communication between devices in a computing system. Each data link typically includes a large number of data lanes. Our software autonomously manages data links over wide operating conditions to ensure reliable operation. If a data link does become unstable (e.g., due to overheating or degrading components), our software can retrain the link to restore margins or manage the data rate to ensure robust data communication. This software is used across applications and protocols, ensuring compliance with industry standards (e.g., PCIe, Ethernet, CXL) while providing flexibility for the specific requirements of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Fleet Management</w:t>
      </w:r>
      <w:r>
        <w:rPr>
          <w:rFonts w:ascii="Times New Roman" w:hAnsi="Times New Roman"/>
          <w:i/>
          <w:sz w:val="20"/>
        </w:rPr>
        <w:t xml:space="preserve">. </w:t>
      </w:r>
      <w:r>
        <w:rPr>
          <w:rFonts w:ascii="Times New Roman" w:hAnsi="Times New Roman"/>
          <w:sz w:val="20"/>
        </w:rPr>
        <w:t xml:space="preserve">COSMOS allows real-time monitoring of and predictive maintenance for server fleets. Our hyperscaler customers gather detailed performance data over time from millions of links. Data from device-level software components is communicated to platform-level software to provide fleet-level insights and analytics. This allows for proactive and predictive maintenance of degraded hardware as well as reassignment of customer workloads to healthy hardware. </w:t>
      </w:r>
    </w:p>
    <w:p>
      <w:pPr>
        <w:pStyle w:val="TextBody"/>
        <w:bidi w:val="0"/>
        <w:spacing w:before="120" w:after="0"/>
        <w:jc w:val="both"/>
        <w:rPr>
          <w:rFonts w:ascii="Times New Roman" w:hAnsi="Times New Roman"/>
          <w:sz w:val="20"/>
        </w:rPr>
      </w:pPr>
      <w:r>
        <w:rPr>
          <w:rFonts w:ascii="Times New Roman" w:hAnsi="Times New Roman"/>
          <w:b/>
          <w:i/>
          <w:sz w:val="20"/>
        </w:rPr>
        <w:t xml:space="preserve">RAS. </w:t>
      </w:r>
      <w:r>
        <w:rPr>
          <w:rFonts w:ascii="Times New Roman" w:hAnsi="Times New Roman"/>
          <w:sz w:val="20"/>
        </w:rPr>
        <w:t xml:space="preserve">COSMOS enables RAS capabilities by detecting, reporting, and testing the data, network, and memory links supported by our product families. On-chip data integrity modules check for a variety of conditions such as media errors and performance anomalies. Software components on our ICs report telemetry data to allow for performance monitoring, error detection, and correction to prevent an applications performance from being impacted. </w:t>
      </w:r>
    </w:p>
    <w:p>
      <w:pPr>
        <w:pStyle w:val="TextBody"/>
        <w:bidi w:val="0"/>
        <w:spacing w:before="240" w:after="0"/>
        <w:jc w:val="both"/>
        <w:rPr>
          <w:rFonts w:ascii="Times New Roman" w:hAnsi="Times New Roman"/>
          <w:sz w:val="20"/>
        </w:rPr>
      </w:pPr>
      <w:r>
        <w:rPr>
          <w:rFonts w:ascii="Times New Roman" w:hAnsi="Times New Roman"/>
          <w:sz w:val="20"/>
        </w:rPr>
        <w:t xml:space="preserve">COSMOS is an integral part of our Intelligent Connectivity Platform that allows customization to support specific hyperscaler requirements throughout the lifecycle of their infrastructure. COSMOS improves our products over time by giving our customers new features, enhancements, and critical updates.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Industry-Trusted Cloud Scale Interoperability Lab </w:t>
      </w:r>
    </w:p>
    <w:p>
      <w:pPr>
        <w:pStyle w:val="TextBody"/>
        <w:bidi w:val="0"/>
        <w:spacing w:before="120" w:after="0"/>
        <w:jc w:val="both"/>
        <w:rPr>
          <w:rFonts w:ascii="Times New Roman" w:hAnsi="Times New Roman"/>
          <w:sz w:val="20"/>
        </w:rPr>
      </w:pPr>
      <w:r>
        <w:rPr>
          <w:rFonts w:ascii="Times New Roman" w:hAnsi="Times New Roman"/>
          <w:sz w:val="20"/>
        </w:rPr>
        <w:t xml:space="preserve">We have built and deployed our industry-trusted cloud scale Interop Lab and developed comprehensive interoperability test suites.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Lessons learned from our Interop Lab are continually rolled into our new and existing products, including our COSMOS software suite, making our customers platforms work more efficiently over time in a virtuous cycle of improvement. </w:t>
      </w:r>
    </w:p>
    <w:p>
      <w:pPr>
        <w:pStyle w:val="TextBody"/>
        <w:bidi w:val="0"/>
        <w:spacing w:before="240" w:after="0"/>
        <w:jc w:val="both"/>
        <w:rPr>
          <w:rFonts w:ascii="Times New Roman" w:hAnsi="Times New Roman"/>
          <w:sz w:val="20"/>
        </w:rPr>
      </w:pPr>
      <w:r>
        <w:rPr>
          <w:rFonts w:ascii="Times New Roman" w:hAnsi="Times New Roman"/>
          <w:sz w:val="20"/>
        </w:rPr>
        <w:t xml:space="preserve">Together, our software-defined connectivity products and our COSMOS software suite form our Intelligent Connectivity Platform. We enhance the value of our platform with our Interop Lab and by providing early interoperability reports with other data center infrastructure suppliers products. Our leading Intelligent Connectivity Platform is performant for the most demanding cloud and AI applications, provides customizable products for different hyperscalers, is reliable at cloud scale, and we believe it increases value to our customers over time. </w:t>
      </w:r>
    </w:p>
    <w:p>
      <w:pPr>
        <w:pStyle w:val="TextBody"/>
        <w:bidi w:val="0"/>
        <w:spacing w:before="360" w:after="0"/>
        <w:jc w:val="left"/>
        <w:rPr>
          <w:rFonts w:ascii="Times New Roman" w:hAnsi="Times New Roman"/>
          <w:b/>
          <w:sz w:val="20"/>
        </w:rPr>
      </w:pPr>
      <w:r>
        <w:rPr>
          <w:rFonts w:ascii="Times New Roman" w:hAnsi="Times New Roman"/>
          <w:b/>
          <w:sz w:val="20"/>
        </w:rPr>
        <w:t xml:space="preserve">Key Customer Benefits of Our Intelligent Connectivity Platform </w:t>
      </w:r>
    </w:p>
    <w:p>
      <w:pPr>
        <w:pStyle w:val="TextBody"/>
        <w:bidi w:val="0"/>
        <w:spacing w:before="120" w:after="0"/>
        <w:jc w:val="both"/>
        <w:rPr>
          <w:rFonts w:ascii="Times New Roman" w:hAnsi="Times New Roman"/>
          <w:sz w:val="20"/>
        </w:rPr>
      </w:pPr>
      <w:r>
        <w:rPr>
          <w:rFonts w:ascii="Times New Roman" w:hAnsi="Times New Roman"/>
          <w:sz w:val="20"/>
        </w:rPr>
        <w:t xml:space="preserve">Our Intelligent Connectivity Platform provides our customers with the ability to deploy and operate high-performance cloud and AI infrastructure at scale, addressing an increasingly diverse set of requirements. </w:t>
      </w:r>
    </w:p>
    <w:p>
      <w:pPr>
        <w:pStyle w:val="TextBody"/>
        <w:bidi w:val="0"/>
        <w:spacing w:before="120" w:after="0"/>
        <w:jc w:val="both"/>
        <w:rPr>
          <w:rFonts w:ascii="Times New Roman" w:hAnsi="Times New Roman"/>
          <w:sz w:val="20"/>
        </w:rPr>
      </w:pPr>
      <w:r>
        <w:rPr>
          <w:rFonts w:ascii="Times New Roman" w:hAnsi="Times New Roman"/>
          <w:b/>
          <w:i/>
          <w:sz w:val="20"/>
        </w:rPr>
        <w:t xml:space="preserve">Superior connectivity performance critical for the next generation of cloud and AI infrastructure. </w:t>
      </w:r>
      <w:r>
        <w:rPr>
          <w:rFonts w:ascii="Times New Roman" w:hAnsi="Times New Roman"/>
          <w:sz w:val="20"/>
        </w:rPr>
        <w:t xml:space="preserve">We developed our purpose-built Intelligent Connectivity Platform to deliver high bandwidth and low latency connectivity at significant scale, enabling the deployment of the next generation of cloud infrastructure critical for data-centric workloads such as AI. This enables our hyperscaler customers to confidently support the latest, largest, and most compute-intensive workloads, enhancing the value of their cloud and AI infrastructure. </w:t>
      </w:r>
    </w:p>
    <w:p>
      <w:pPr>
        <w:pStyle w:val="TextBody"/>
        <w:bidi w:val="0"/>
        <w:spacing w:before="120" w:after="0"/>
        <w:jc w:val="both"/>
        <w:rPr>
          <w:rFonts w:ascii="Times New Roman" w:hAnsi="Times New Roman"/>
          <w:sz w:val="20"/>
        </w:rPr>
      </w:pPr>
      <w:r>
        <w:rPr>
          <w:rFonts w:ascii="Times New Roman" w:hAnsi="Times New Roman"/>
          <w:b/>
          <w:i/>
          <w:sz w:val="20"/>
        </w:rPr>
        <w:t xml:space="preserve">Seamless deployment through customizable products, utilizing our customer PSSP model. </w:t>
      </w:r>
      <w:r>
        <w:rPr>
          <w:rFonts w:ascii="Times New Roman" w:hAnsi="Times New Roman"/>
          <w:sz w:val="20"/>
        </w:rPr>
        <w:t xml:space="preserve">Our software-defined connectivity platform is highly customizable to address the unique needs of each hyperscaler, which enables our hyperscaler customers to seamlessly provide differentiated solutions to their users without compromising on performance, features, or cost. At the same time, we simplify their connectivity sourcing needs by using the same device across a diverse set of new and existing infrastructure for high-volume requirements. Relative to traditional custom hardware products, our customers benefit from faster time-to-market, reduced risk, and lower cost of ownership due to the economies of scale of our PSSP model. The customizable nature of our products is ideal to address the varying cloud infrastructure requirements: </w:t>
      </w:r>
    </w:p>
    <w:p>
      <w:pPr>
        <w:pStyle w:val="TextBody"/>
        <w:bidi w:val="0"/>
        <w:spacing w:before="120" w:after="0"/>
        <w:jc w:val="both"/>
        <w:rPr>
          <w:rFonts w:ascii="Times New Roman" w:hAnsi="Times New Roman"/>
          <w:sz w:val="20"/>
        </w:rPr>
      </w:pPr>
      <w:r>
        <w:rPr>
          <w:rFonts w:ascii="Times New Roman" w:hAnsi="Times New Roman"/>
          <w:b/>
          <w:i/>
          <w:sz w:val="20"/>
        </w:rPr>
        <w:t xml:space="preserve">Public Cloud. </w:t>
      </w:r>
      <w:r>
        <w:rPr>
          <w:rFonts w:ascii="Times New Roman" w:hAnsi="Times New Roman"/>
          <w:sz w:val="20"/>
        </w:rPr>
        <w:t xml:space="preserve">Performance is optimized across extensive and diverse workloads; </w:t>
      </w:r>
    </w:p>
    <w:p>
      <w:pPr>
        <w:pStyle w:val="TextBody"/>
        <w:bidi w:val="0"/>
        <w:spacing w:before="120" w:after="0"/>
        <w:jc w:val="both"/>
        <w:rPr>
          <w:rFonts w:ascii="Times New Roman" w:hAnsi="Times New Roman"/>
          <w:sz w:val="20"/>
        </w:rPr>
      </w:pPr>
      <w:r>
        <w:rPr>
          <w:rFonts w:ascii="Times New Roman" w:hAnsi="Times New Roman"/>
          <w:b/>
          <w:i/>
          <w:sz w:val="20"/>
        </w:rPr>
        <w:t xml:space="preserve">Hybrid Cloud. </w:t>
      </w:r>
      <w:r>
        <w:rPr>
          <w:rFonts w:ascii="Times New Roman" w:hAnsi="Times New Roman"/>
          <w:sz w:val="20"/>
        </w:rPr>
        <w:t xml:space="preserve">Balancing internal use and external cloud applications, typically integrating multiple AI platforms;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 xml:space="preserve">Private Cloud. </w:t>
      </w:r>
      <w:r>
        <w:rPr>
          <w:rFonts w:ascii="Times New Roman" w:hAnsi="Times New Roman"/>
          <w:sz w:val="20"/>
        </w:rPr>
        <w:t xml:space="preserve">Optimized for specific workloads, often with expanded AI application support. </w:t>
      </w:r>
    </w:p>
    <w:p>
      <w:pPr>
        <w:pStyle w:val="TextBody"/>
        <w:bidi w:val="0"/>
        <w:spacing w:before="120" w:after="0"/>
        <w:jc w:val="both"/>
        <w:rPr>
          <w:rFonts w:ascii="Times New Roman" w:hAnsi="Times New Roman"/>
          <w:sz w:val="20"/>
        </w:rPr>
      </w:pPr>
      <w:r>
        <w:rPr>
          <w:rFonts w:ascii="Times New Roman" w:hAnsi="Times New Roman"/>
          <w:b/>
          <w:i/>
          <w:sz w:val="20"/>
        </w:rPr>
        <w:t xml:space="preserve">Robust reliability, QoS, and software management capabilities facilitate deployment at scale. </w:t>
      </w:r>
      <w:r>
        <w:rPr>
          <w:rFonts w:ascii="Times New Roman" w:hAnsi="Times New Roman"/>
          <w:sz w:val="20"/>
        </w:rPr>
        <w:t xml:space="preserve">Our platform provides (i) robust signal integrity to overcome increasing channel insertion loss as connectivity speeds increase, (ii) server-grade RAS support, and (iii) sophisticated link telemetry features that enable signal monitoring for QoS. Our COSMOS software suite provides critical system-level operational insights, allowing our customers to manage, debug, and deploy cloud and AI infrastructure at scale. </w:t>
      </w:r>
    </w:p>
    <w:p>
      <w:pPr>
        <w:pStyle w:val="TextBody"/>
        <w:bidi w:val="0"/>
        <w:spacing w:before="120" w:after="0"/>
        <w:jc w:val="both"/>
        <w:rPr>
          <w:rFonts w:ascii="Times New Roman" w:hAnsi="Times New Roman"/>
          <w:sz w:val="20"/>
        </w:rPr>
      </w:pPr>
      <w:r>
        <w:rPr>
          <w:rFonts w:ascii="Times New Roman" w:hAnsi="Times New Roman"/>
          <w:b/>
          <w:i/>
          <w:sz w:val="20"/>
        </w:rPr>
        <w:t xml:space="preserve">Real-time link monitoring for fleet health management and improved user experience. </w:t>
      </w:r>
      <w:r>
        <w:rPr>
          <w:rFonts w:ascii="Times New Roman" w:hAnsi="Times New Roman"/>
          <w:sz w:val="20"/>
        </w:rPr>
        <w:t xml:space="preserve">Managing millions of servers with billions of high-speed data links can be an operational nightmare for large cloud operators. Link health monitors embedded in our products and software algorithms implemented in our COSMOS software suite provide rich insights into the health, performance, and utilization of interconnects for predictive maintenance, as well as for the reassignment of user workloads to healthy hardware for improved user experience. </w:t>
      </w:r>
    </w:p>
    <w:p>
      <w:pPr>
        <w:pStyle w:val="TextBody"/>
        <w:bidi w:val="0"/>
        <w:spacing w:before="120" w:after="0"/>
        <w:jc w:val="both"/>
        <w:rPr>
          <w:rFonts w:ascii="Times New Roman" w:hAnsi="Times New Roman"/>
          <w:sz w:val="20"/>
        </w:rPr>
      </w:pPr>
      <w:r>
        <w:rPr>
          <w:rFonts w:ascii="Times New Roman" w:hAnsi="Times New Roman"/>
          <w:b/>
          <w:i/>
          <w:sz w:val="20"/>
        </w:rPr>
        <w:t>Platform optionality and supply chain flexibility</w:t>
      </w:r>
      <w:r>
        <w:rPr>
          <w:rFonts w:ascii="Times New Roman" w:hAnsi="Times New Roman"/>
          <w:i/>
          <w:sz w:val="20"/>
        </w:rPr>
        <w:t xml:space="preserve">. </w:t>
      </w:r>
      <w:r>
        <w:rPr>
          <w:rFonts w:ascii="Times New Roman" w:hAnsi="Times New Roman"/>
          <w:sz w:val="20"/>
        </w:rPr>
        <w:t xml:space="preserve">Today, our connectivity solutions are at the heart of major AI platforms deployed worldwide, featuring both commercially available GPUs and proprietary AI accelerators. Our Intelligent Connectivity Platform supports multiple cloud and AI compute platforms which incorporate a mix of GPUs, other AI accelerators, and CPUs. This enables our customers to seamlessly port their connectivity architectures across multiple system platforms featuring processors from different suppliers, including proprietary in-house processors from hyperscalers. </w:t>
      </w:r>
    </w:p>
    <w:p>
      <w:pPr>
        <w:pStyle w:val="TextBody"/>
        <w:bidi w:val="0"/>
        <w:spacing w:before="120" w:after="0"/>
        <w:jc w:val="both"/>
        <w:rPr>
          <w:rFonts w:ascii="Times New Roman" w:hAnsi="Times New Roman"/>
          <w:sz w:val="20"/>
        </w:rPr>
      </w:pPr>
      <w:r>
        <w:rPr>
          <w:rFonts w:ascii="Times New Roman" w:hAnsi="Times New Roman"/>
          <w:b/>
          <w:i/>
          <w:sz w:val="20"/>
        </w:rPr>
        <w:t xml:space="preserve">Multiple form factors expand deployment options and accelerate time-to-market. </w:t>
      </w:r>
      <w:r>
        <w:rPr>
          <w:rFonts w:ascii="Times New Roman" w:hAnsi="Times New Roman"/>
          <w:sz w:val="20"/>
        </w:rPr>
        <w:t xml:space="preserve">We provide our connectivity products in various form factors including ICs, boards, and modules. We strive to ensure that our products perform optimally across form factors, which enables our customers to adapt their product sourcing plans with us to support their dynamic system requirements and quickly deploy multiple architectural topologies across their infrastructure. For example, we provide Aries in an IC form factor for board-level applications and have also evolved this offering per our customers needs to quickly provide the same solution in a module form factor to extend PCIe over active electrical cables. </w:t>
      </w:r>
    </w:p>
    <w:p>
      <w:pPr>
        <w:pStyle w:val="TextBody"/>
        <w:bidi w:val="0"/>
        <w:spacing w:before="120" w:after="0"/>
        <w:jc w:val="both"/>
        <w:rPr>
          <w:rFonts w:ascii="Times New Roman" w:hAnsi="Times New Roman"/>
          <w:sz w:val="20"/>
        </w:rPr>
      </w:pPr>
      <w:r>
        <w:rPr>
          <w:rFonts w:ascii="Times New Roman" w:hAnsi="Times New Roman"/>
          <w:b/>
          <w:i/>
          <w:sz w:val="20"/>
        </w:rPr>
        <w:t xml:space="preserve">Accelerated time-to-market improves ROI for hyperscalers. </w:t>
      </w:r>
      <w:r>
        <w:rPr>
          <w:rFonts w:ascii="Times New Roman" w:hAnsi="Times New Roman"/>
          <w:sz w:val="20"/>
        </w:rPr>
        <w:t xml:space="preserve">We believe we enable our hyperscaler customers to offer the latest and largest AI models to their users faster than their peers, which is critical for hyperscalers to retain and grow their user bases. Our products are designed to accelerate time-to-market by solving interoperability issues with data center infrastructure ecosystem suppliers products ahead of our customers efforts to design and qualify systems for deployment. Our Interop Lab extends the useful life of our customers cloud and AI infrastructure, helps them retain and grow their business with their users, and improves the ROI of their infrastructure. </w:t>
      </w:r>
    </w:p>
    <w:p>
      <w:pPr>
        <w:pStyle w:val="TextBody"/>
        <w:bidi w:val="0"/>
        <w:spacing w:before="120" w:after="0"/>
        <w:jc w:val="both"/>
        <w:rPr>
          <w:rFonts w:ascii="Times New Roman" w:hAnsi="Times New Roman"/>
          <w:sz w:val="20"/>
        </w:rPr>
      </w:pPr>
      <w:r>
        <w:rPr>
          <w:rFonts w:ascii="Times New Roman" w:hAnsi="Times New Roman"/>
          <w:b/>
          <w:i/>
          <w:sz w:val="20"/>
        </w:rPr>
        <w:t xml:space="preserve">Improved utilization of cloud and AI infrastructure lowers TCO. </w:t>
      </w:r>
      <w:r>
        <w:rPr>
          <w:rFonts w:ascii="Times New Roman" w:hAnsi="Times New Roman"/>
          <w:sz w:val="20"/>
        </w:rPr>
        <w:t xml:space="preserve">Our Intelligent Connectivity Platform enables increased utilization of expensive GPUs and other AI accelerators, unlocks scalable memory expansion, and provides greater system uptime to lower the total cost of system ownership for hyperscalers, improving the value proposition that they can provide for their users. </w:t>
      </w:r>
    </w:p>
    <w:p>
      <w:pPr>
        <w:pStyle w:val="TextBody"/>
        <w:bidi w:val="0"/>
        <w:spacing w:before="120" w:after="0"/>
        <w:jc w:val="both"/>
        <w:rPr>
          <w:rFonts w:ascii="Times New Roman" w:hAnsi="Times New Roman"/>
          <w:sz w:val="20"/>
        </w:rPr>
      </w:pPr>
      <w:r>
        <w:rPr>
          <w:rFonts w:ascii="Times New Roman" w:hAnsi="Times New Roman"/>
          <w:b/>
          <w:i/>
          <w:sz w:val="20"/>
        </w:rPr>
        <w:t>Green data centers and environmental sustainability.</w:t>
      </w:r>
      <w:r>
        <w:rPr>
          <w:rFonts w:ascii="Times New Roman" w:hAnsi="Times New Roman"/>
          <w:sz w:val="20"/>
        </w:rPr>
        <w:t xml:space="preserve"> Our Intelligent Connectivity Platform increases power efficiency by increasing bandwidth over existing interconnects such as copper cables thereby reducing energy requirements compared to optical cables. We further enable environmental sustainability by extending the useful life of our customers existing hardware, which includes copper media. </w:t>
      </w:r>
    </w:p>
    <w:p>
      <w:pPr>
        <w:pStyle w:val="TextBody"/>
        <w:bidi w:val="0"/>
        <w:spacing w:before="240" w:after="0"/>
        <w:jc w:val="both"/>
        <w:rPr>
          <w:rFonts w:ascii="Times New Roman" w:hAnsi="Times New Roman"/>
          <w:sz w:val="20"/>
        </w:rPr>
      </w:pPr>
      <w:r>
        <w:rPr>
          <w:rFonts w:ascii="Times New Roman" w:hAnsi="Times New Roman"/>
          <w:sz w:val="20"/>
        </w:rPr>
        <w:t xml:space="preserve">Our Intelligent Connectivity Platform is purpose-built to unleash the full potential of accelerated computing at cloud scale, making us a critical and trusted partner to our hyperscaler customers and companies in the data center infrastructure ecosystem.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Customer Flywheel </w:t>
      </w:r>
    </w:p>
    <w:p>
      <w:pPr>
        <w:pStyle w:val="TextBody"/>
        <w:bidi w:val="0"/>
        <w:spacing w:before="120" w:after="0"/>
        <w:jc w:val="both"/>
        <w:rPr>
          <w:rFonts w:ascii="Times New Roman" w:hAnsi="Times New Roman"/>
          <w:sz w:val="20"/>
        </w:rPr>
      </w:pPr>
      <w:r>
        <w:rPr>
          <w:rFonts w:ascii="Times New Roman" w:hAnsi="Times New Roman"/>
          <w:sz w:val="20"/>
        </w:rPr>
        <w:t xml:space="preserve">Given the use-cases for compute-intensive applications, as led by AI, are diverse and complex, hyperscalers have adopted different accelerated computing architectures that are scale- and cost-optimized depending on the workload. We use our deep technical expertise and ability to innovate and tailor our products to meet each hyperscalers exacting needs. As a result, our business sees a powerful flywheel effect, which creates additional demand for existing products and enables us to bring additional new products to market in close relationships with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15620" cy="3016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15620" cy="30162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This flywheel effect consists of: </w:t>
      </w:r>
    </w:p>
    <w:p>
      <w:pPr>
        <w:pStyle w:val="TextBody"/>
        <w:bidi w:val="0"/>
        <w:spacing w:before="120" w:after="0"/>
        <w:jc w:val="both"/>
        <w:rPr>
          <w:rFonts w:ascii="Times New Roman" w:hAnsi="Times New Roman"/>
          <w:sz w:val="20"/>
        </w:rPr>
      </w:pPr>
      <w:r>
        <w:rPr>
          <w:rFonts w:ascii="Times New Roman" w:hAnsi="Times New Roman"/>
          <w:b/>
          <w:i/>
          <w:sz w:val="20"/>
        </w:rPr>
        <w:t xml:space="preserve">Our customer PSSP business model which enables symbiotic customer relationships. </w:t>
      </w:r>
      <w:r>
        <w:rPr>
          <w:rFonts w:ascii="Times New Roman" w:hAnsi="Times New Roman"/>
          <w:sz w:val="20"/>
        </w:rPr>
        <w:t xml:space="preserve">Based on the unique requirements of each customer, our software-defined platform architecture allows us to rapidly develop our standard products and gives us the flexibility to make modifications, customizations, and upgrades, even after deployment. This PSSP approach provides us with operating leverage and leads to increased collaboration with our customers, allowing us better customer access and greater engagement, resulting in greater visibility into new customer platforms and additional content opportunities. </w:t>
      </w:r>
    </w:p>
    <w:p>
      <w:pPr>
        <w:pStyle w:val="TextBody"/>
        <w:bidi w:val="0"/>
        <w:spacing w:before="120" w:after="0"/>
        <w:jc w:val="both"/>
        <w:rPr>
          <w:rFonts w:ascii="Times New Roman" w:hAnsi="Times New Roman"/>
          <w:sz w:val="20"/>
        </w:rPr>
      </w:pPr>
      <w:r>
        <w:rPr>
          <w:rFonts w:ascii="Times New Roman" w:hAnsi="Times New Roman"/>
          <w:b/>
          <w:i/>
          <w:sz w:val="20"/>
        </w:rPr>
        <w:t>Our cloud scale Interop Lab which provides rigorous testing for interoperability within the data center infrastructure ecosystem</w:t>
      </w:r>
      <w:r>
        <w:rPr>
          <w:rFonts w:ascii="Times New Roman" w:hAnsi="Times New Roman"/>
          <w:i/>
          <w:sz w:val="20"/>
        </w:rPr>
        <w:t xml:space="preserve">. </w:t>
      </w:r>
      <w:r>
        <w:rPr>
          <w:rFonts w:ascii="Times New Roman" w:hAnsi="Times New Roman"/>
          <w:sz w:val="20"/>
        </w:rPr>
        <w:t xml:space="preserve">We have invested in ensuring wide interoperability of our products, and this is at the heart of our product development process. Our focus on ensuring interoperability for our products allows our customers to deploy them with confidence and elevates our position as a trusted partner to our customers and across the data center infrastructure ecosystem. We engage with our customers through our Interop Lab, where industry participants work together to establish compatibility and stress test products early in their product development process, and prior to large-scale deployments. When connectivity issues are identified in our labs, we can frequently resolve them through COSMOS software suite enhancements for our products. The ability to identify and resolve them seamlessly, utilizing our COSMOS software suite and our Interop Lab, enhances both our products and our customers solutions over time. </w:t>
      </w:r>
    </w:p>
    <w:p>
      <w:pPr>
        <w:pStyle w:val="TextBody"/>
        <w:bidi w:val="0"/>
        <w:spacing w:before="120" w:after="0"/>
        <w:jc w:val="both"/>
        <w:rPr>
          <w:rFonts w:ascii="Times New Roman" w:hAnsi="Times New Roman"/>
          <w:sz w:val="20"/>
        </w:rPr>
      </w:pPr>
      <w:r>
        <w:rPr>
          <w:rFonts w:ascii="Times New Roman" w:hAnsi="Times New Roman"/>
          <w:b/>
          <w:i/>
          <w:sz w:val="20"/>
        </w:rPr>
        <w:t xml:space="preserve">Our deep system level visibility into critical components in the data center. </w:t>
      </w:r>
      <w:r>
        <w:rPr>
          <w:rFonts w:ascii="Times New Roman" w:hAnsi="Times New Roman"/>
          <w:sz w:val="20"/>
        </w:rPr>
        <w:t xml:space="preserve">Our COSMOS software suite enables deep visibility into the performance and limitations of cloud and AI infrastructure, providing us with a pathway to continuously improve our products and increase the value that they provide to our customers. This visibility, along with the diagnostics and management capabilities of our COSMOS software suite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enables our customers to reduce their total cost of ownership. Once our COSMOS software is integrated into our customers systems, we gain visibility into the performance and operation of our customers infrastructure, providing us with a pathway to continuously improve our products, expand product offerings, and increase the value that our products add to our customers. </w:t>
      </w:r>
    </w:p>
    <w:p>
      <w:pPr>
        <w:pStyle w:val="TextBody"/>
        <w:bidi w:val="0"/>
        <w:spacing w:before="120" w:after="0"/>
        <w:jc w:val="both"/>
        <w:rPr>
          <w:rFonts w:ascii="Times New Roman" w:hAnsi="Times New Roman"/>
          <w:sz w:val="20"/>
        </w:rPr>
      </w:pPr>
      <w:r>
        <w:rPr>
          <w:rFonts w:ascii="Times New Roman" w:hAnsi="Times New Roman"/>
          <w:b/>
          <w:i/>
          <w:sz w:val="20"/>
        </w:rPr>
        <w:t xml:space="preserve">Natural partner for implementing generational upgrades. </w:t>
      </w:r>
      <w:r>
        <w:rPr>
          <w:rFonts w:ascii="Times New Roman" w:hAnsi="Times New Roman"/>
          <w:sz w:val="20"/>
        </w:rPr>
        <w:t xml:space="preserve">Our COSMOS software suite allows customizations through link management, fleet management, and RAS to meet unique customer requirements. When coupled with our leading connectivity products, this makes us an ideal partner for hyperscalers when they need to implement generational upgrades. New generations of our products are designed to work seamlessly with COSMOS software, which is already deployed with our customers. </w:t>
      </w:r>
    </w:p>
    <w:p>
      <w:pPr>
        <w:pStyle w:val="TextBody"/>
        <w:bidi w:val="0"/>
        <w:spacing w:before="120" w:after="0"/>
        <w:jc w:val="both"/>
        <w:rPr>
          <w:rFonts w:ascii="Times New Roman" w:hAnsi="Times New Roman"/>
          <w:sz w:val="20"/>
        </w:rPr>
      </w:pPr>
      <w:r>
        <w:rPr>
          <w:rFonts w:ascii="Times New Roman" w:hAnsi="Times New Roman"/>
          <w:sz w:val="20"/>
        </w:rPr>
        <w:t xml:space="preserve">Our customer flywheel creates a virtuous cycle where we gain more insight from existing deployments and translate them into hardware and software feature upgrades for our product families, thereby continuously improving our Intelligent Connectivity Platform. </w:t>
      </w:r>
    </w:p>
    <w:p>
      <w:pPr>
        <w:pStyle w:val="TextBody"/>
        <w:bidi w:val="0"/>
        <w:spacing w:before="240" w:after="0"/>
        <w:jc w:val="both"/>
        <w:rPr>
          <w:rFonts w:ascii="Times New Roman" w:hAnsi="Times New Roman"/>
          <w:sz w:val="20"/>
        </w:rPr>
      </w:pPr>
      <w:r>
        <w:rPr>
          <w:rFonts w:ascii="Times New Roman" w:hAnsi="Times New Roman"/>
          <w:sz w:val="20"/>
        </w:rPr>
        <w:t xml:space="preserve">We sell our products both through distributors and directly to end customers and their manufacturing partners. We are the primary interface with our hyperscaler, system OEM customers and their manufacturing partners whose requirements help drive the design of our solutions. Presently most of our direct revenue comes from distributors who operate as logistics and order fulfillment service providers to our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both"/>
        <w:rPr>
          <w:rFonts w:ascii="Times New Roman" w:hAnsi="Times New Roman"/>
          <w:sz w:val="20"/>
        </w:rPr>
      </w:pPr>
      <w:r>
        <w:rPr>
          <w:rFonts w:ascii="Times New Roman" w:hAnsi="Times New Roman"/>
          <w:sz w:val="20"/>
        </w:rPr>
        <w:t xml:space="preserve">Our market-leading technology, fundamental to our Intelligent Connectivity Platform, has allowed us to win many high-volume designs based on our products for cloud and AI infrastructure. We believe our singular focus on cloud and AI connectivity, our software-defined platform architecture, and our system-level approach fortify our customer relationships, which are reinforced with each generational upgrade and new product family introduction, creating our durable competitive moat. Our competitive strengths include: </w:t>
      </w:r>
    </w:p>
    <w:p>
      <w:pPr>
        <w:pStyle w:val="TextBody"/>
        <w:bidi w:val="0"/>
        <w:spacing w:before="120" w:after="0"/>
        <w:jc w:val="both"/>
        <w:rPr>
          <w:rFonts w:ascii="Times New Roman" w:hAnsi="Times New Roman"/>
          <w:sz w:val="20"/>
        </w:rPr>
      </w:pPr>
      <w:r>
        <w:rPr>
          <w:rFonts w:ascii="Times New Roman" w:hAnsi="Times New Roman"/>
          <w:b/>
          <w:i/>
          <w:sz w:val="20"/>
        </w:rPr>
        <w:t>Singular focus on cloud and AI connectivity</w:t>
      </w:r>
      <w:r>
        <w:rPr>
          <w:rFonts w:ascii="Times New Roman" w:hAnsi="Times New Roman"/>
          <w:i/>
          <w:sz w:val="20"/>
        </w:rPr>
        <w:t xml:space="preserve">. </w:t>
      </w:r>
      <w:r>
        <w:rPr>
          <w:rFonts w:ascii="Times New Roman" w:hAnsi="Times New Roman"/>
          <w:sz w:val="20"/>
        </w:rPr>
        <w:t xml:space="preserve">Our Intelligent Connectivity Platform was purpose-built from the ground up to solve cloud and AI infrastructure challenges. Our comprehensive suite of PCIe, Ethernet, and CXL products addresses the data, network, and memory bottlenecks of accelerated computing at cloud scale. Our singular focus on cloud and AI infrastructure provides us with a deep understanding of our customers needs that has enabled us to develop a portfolio of high value-added solutions that meet their exacting, complex, and diverse cloud and AI infrastructure requirements. </w:t>
      </w:r>
    </w:p>
    <w:p>
      <w:pPr>
        <w:pStyle w:val="TextBody"/>
        <w:bidi w:val="0"/>
        <w:spacing w:before="120" w:after="0"/>
        <w:jc w:val="both"/>
        <w:rPr>
          <w:rFonts w:ascii="Times New Roman" w:hAnsi="Times New Roman"/>
          <w:sz w:val="20"/>
        </w:rPr>
      </w:pPr>
      <w:r>
        <w:rPr>
          <w:rFonts w:ascii="Times New Roman" w:hAnsi="Times New Roman"/>
          <w:b/>
          <w:i/>
          <w:sz w:val="20"/>
        </w:rPr>
        <w:t xml:space="preserve">Software-defined IC architecture underpins our connectivity products. </w:t>
      </w:r>
      <w:r>
        <w:rPr>
          <w:rFonts w:ascii="Times New Roman" w:hAnsi="Times New Roman"/>
          <w:sz w:val="20"/>
        </w:rPr>
        <w:t xml:space="preserve">Unlike legacy approaches that use either a kitchen sink super-set product or a highly customized product to address the differentiated infrastructure and workload needs of each hyperscaler, we have partnered with hyperscalers and many of the worlds leading data center infrastructure suppliers, including GPU and other AI accelerator vendors, to create a differentiated platform. Our software-defined architecture optimizes time-to-market and allows us to easily customize our products to match the unique performance and functional requirements of our customers. This approach allows for an accelerated design process, with faster time-to-sample, and greater levels of flexibility and customization compared to traditional hardware-centric approaches. Our approach allows us to upgrade and modify our products in-field, as opposed to requiring hardware replacements which are costly and result in increased downtime. When coupled with our leading connectivity products, this makes us an ideal partner for hyperscalers when they need to implement generational upgrades, fortifying our position and strengthening our competitive moat. </w:t>
      </w:r>
    </w:p>
    <w:p>
      <w:pPr>
        <w:pStyle w:val="TextBody"/>
        <w:bidi w:val="0"/>
        <w:spacing w:before="120" w:after="0"/>
        <w:jc w:val="both"/>
        <w:rPr>
          <w:rFonts w:ascii="Times New Roman" w:hAnsi="Times New Roman"/>
          <w:sz w:val="20"/>
        </w:rPr>
      </w:pPr>
      <w:r>
        <w:rPr>
          <w:rFonts w:ascii="Times New Roman" w:hAnsi="Times New Roman"/>
          <w:b/>
          <w:i/>
          <w:sz w:val="20"/>
        </w:rPr>
        <w:t xml:space="preserve">COSMOS software suite provides unmatched flexibility and customizability. </w:t>
      </w:r>
      <w:r>
        <w:rPr>
          <w:rFonts w:ascii="Times New Roman" w:hAnsi="Times New Roman"/>
          <w:sz w:val="20"/>
        </w:rPr>
        <w:t xml:space="preserve">COSMOS enables our customers to seamlessly configure, manage, monitor, optimize, troubleshoot, and customize functions within our product families. With link management, fleet management, and RAS capabilities, COSMOS allows for customization to support specific hyperscaler requirements throughout the lifecycle of their infrastructure, offering our customers frequent enhancements and additional capabilities. Adaptability and regular feature refinement establish COSMOS as a differentiated asset of our platform, providing additional value to our customers and solidifying our position within our customers cloud and AI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System-level approach to purpose-built product families</w:t>
      </w:r>
      <w:r>
        <w:rPr>
          <w:rFonts w:ascii="Times New Roman" w:hAnsi="Times New Roman"/>
          <w:i/>
          <w:sz w:val="20"/>
        </w:rPr>
        <w:t xml:space="preserve">. </w:t>
      </w:r>
      <w:r>
        <w:rPr>
          <w:rFonts w:ascii="Times New Roman" w:hAnsi="Times New Roman"/>
          <w:sz w:val="20"/>
        </w:rPr>
        <w:t xml:space="preserve">We go beyond providing a solution for standard connectivity protocols and take a system-level approach to our products to ensure that we address specific and critical problems for our hyperscaler customers. We provide a complete platform consisting of ICs, boards, and modules coupled with software and interoperability reports that ensure ease of integration and customer adoption. This approach has enabled us to be viewed as a trusted strategic partner by our customers, leading to deeper collaboration and early insight into future product opportunities. </w:t>
      </w:r>
    </w:p>
    <w:p>
      <w:pPr>
        <w:pStyle w:val="TextBody"/>
        <w:bidi w:val="0"/>
        <w:spacing w:before="120" w:after="0"/>
        <w:jc w:val="both"/>
        <w:rPr>
          <w:rFonts w:ascii="Times New Roman" w:hAnsi="Times New Roman"/>
          <w:sz w:val="20"/>
        </w:rPr>
      </w:pPr>
      <w:r>
        <w:rPr>
          <w:rFonts w:ascii="Times New Roman" w:hAnsi="Times New Roman"/>
          <w:b/>
          <w:i/>
          <w:sz w:val="20"/>
        </w:rPr>
        <w:t xml:space="preserve">First mover advantage provides early insight into evolving customer needs. </w:t>
      </w:r>
      <w:r>
        <w:rPr>
          <w:rFonts w:ascii="Times New Roman" w:hAnsi="Times New Roman"/>
          <w:sz w:val="20"/>
        </w:rPr>
        <w:t xml:space="preserve">We have created and commercialized first-to-market PCIe, Ethernet, and CXL products, and with more than 300 design wins, we have become a trusted partner and a proven supplier to our hyperscaler and system OEM customers. As a result, we gain extensive insight from existing deployments and translate them into new product opportunities. </w:t>
      </w:r>
    </w:p>
    <w:p>
      <w:pPr>
        <w:pStyle w:val="TextBody"/>
        <w:bidi w:val="0"/>
        <w:spacing w:before="120" w:after="0"/>
        <w:jc w:val="both"/>
        <w:rPr>
          <w:rFonts w:ascii="Times New Roman" w:hAnsi="Times New Roman"/>
          <w:sz w:val="20"/>
        </w:rPr>
      </w:pPr>
      <w:r>
        <w:rPr>
          <w:rFonts w:ascii="Times New Roman" w:hAnsi="Times New Roman"/>
          <w:b/>
          <w:i/>
          <w:sz w:val="20"/>
        </w:rPr>
        <w:t>Cloud-based IC research and development fuels our continued innovation</w:t>
      </w:r>
      <w:r>
        <w:rPr>
          <w:rFonts w:ascii="Times New Roman" w:hAnsi="Times New Roman"/>
          <w:i/>
          <w:sz w:val="20"/>
        </w:rPr>
        <w:t xml:space="preserve">. </w:t>
      </w:r>
      <w:r>
        <w:rPr>
          <w:rFonts w:ascii="Times New Roman" w:hAnsi="Times New Roman"/>
          <w:sz w:val="20"/>
        </w:rPr>
        <w:t>We were born in the cloud, with our research and development located in the public cloud</w:t>
      </w:r>
      <w:r>
        <w:rPr>
          <w:rFonts w:ascii="Times New Roman" w:hAnsi="Times New Roman"/>
          <w:b/>
          <w:sz w:val="20"/>
        </w:rPr>
        <w:t xml:space="preserve">. </w:t>
      </w:r>
      <w:r>
        <w:rPr>
          <w:rFonts w:ascii="Times New Roman" w:hAnsi="Times New Roman"/>
          <w:sz w:val="20"/>
        </w:rPr>
        <w:t xml:space="preserve">By harnessing the scale of cloud computing, we believe we improve quality, reduce development costs, and accelerate speed of execution, which allows us to get to market faster than traditional semiconductor companies. Furthermore, the learnings from using the cloud ourselves feeds innovation across all aspects of our Intelligent Connectivity Platform, which is used to improve and scale cloud and AI infrastructure deployments. </w:t>
      </w:r>
    </w:p>
    <w:p>
      <w:pPr>
        <w:pStyle w:val="TextBody"/>
        <w:bidi w:val="0"/>
        <w:spacing w:before="120" w:after="0"/>
        <w:jc w:val="both"/>
        <w:rPr>
          <w:rFonts w:ascii="Times New Roman" w:hAnsi="Times New Roman"/>
          <w:sz w:val="20"/>
        </w:rPr>
      </w:pPr>
      <w:r>
        <w:rPr>
          <w:rFonts w:ascii="Times New Roman" w:hAnsi="Times New Roman"/>
          <w:b/>
          <w:i/>
          <w:sz w:val="20"/>
        </w:rPr>
        <w:t>Broad and deep relationships across the entire data center infrastructure ecosystem</w:t>
      </w:r>
      <w:r>
        <w:rPr>
          <w:rFonts w:ascii="Times New Roman" w:hAnsi="Times New Roman"/>
          <w:i/>
          <w:sz w:val="20"/>
        </w:rPr>
        <w:t xml:space="preserve">. </w:t>
      </w:r>
      <w:r>
        <w:rPr>
          <w:rFonts w:ascii="Times New Roman" w:hAnsi="Times New Roman"/>
          <w:sz w:val="20"/>
        </w:rPr>
        <w:t xml:space="preserve">We have developed deep relationships across the data center infrastructure ecosystem by building our products to be interoperable with products from NVIDIA, Advanced Micro Devices, Intel, proprietary in-house processors from hyperscalers, as well as those from memory and storage vendors. At our Interop Lab, industry participants work together to ensure compatibility and stress test products early in their product development process. Our Interop Lab positions us at the front and center for new product adoptions within the ecosystem, ensuring better interoperability of our products in customers infrastructure and providing us with cycles of learning ahead of our competitors. </w:t>
      </w:r>
    </w:p>
    <w:p>
      <w:pPr>
        <w:pStyle w:val="TextBody"/>
        <w:bidi w:val="0"/>
        <w:spacing w:before="120" w:after="0"/>
        <w:jc w:val="both"/>
        <w:rPr>
          <w:rFonts w:ascii="Times New Roman" w:hAnsi="Times New Roman"/>
          <w:sz w:val="20"/>
        </w:rPr>
      </w:pPr>
      <w:r>
        <w:rPr>
          <w:rFonts w:ascii="Times New Roman" w:hAnsi="Times New Roman"/>
          <w:sz w:val="20"/>
        </w:rPr>
        <w:t xml:space="preserve">For instance, we believe being integrated into reference and/or commercial designs provided by industry leaders like NVIDIA, Advanced Micro Devices, and Intel demonstrates their trust in us as a reliable supplier. By aligning our solutions with their established designs, we gain understanding of their product architectures, which not only expedites our product development process, but also ensures better compatibility with a wide array of other hardware elements within the ecosystem. The resulting robustness of our products embeds us deeper with our customers, further strengthening our relationships across the data center infrastructure ecosystem. </w:t>
      </w:r>
    </w:p>
    <w:p>
      <w:pPr>
        <w:pStyle w:val="TextBody"/>
        <w:bidi w:val="0"/>
        <w:spacing w:before="120" w:after="0"/>
        <w:jc w:val="both"/>
        <w:rPr>
          <w:rFonts w:ascii="Times New Roman" w:hAnsi="Times New Roman"/>
          <w:sz w:val="20"/>
        </w:rPr>
      </w:pPr>
      <w:r>
        <w:rPr>
          <w:rFonts w:ascii="Times New Roman" w:hAnsi="Times New Roman"/>
          <w:b/>
          <w:i/>
          <w:sz w:val="20"/>
        </w:rPr>
        <w:t>Robust supply chain designed to serve hyperscaler customers</w:t>
      </w:r>
      <w:r>
        <w:rPr>
          <w:rFonts w:ascii="Times New Roman" w:hAnsi="Times New Roman"/>
          <w:i/>
          <w:sz w:val="20"/>
        </w:rPr>
        <w:t xml:space="preserve">. </w:t>
      </w:r>
      <w:r>
        <w:rPr>
          <w:rFonts w:ascii="Times New Roman" w:hAnsi="Times New Roman"/>
          <w:sz w:val="20"/>
        </w:rPr>
        <w:t xml:space="preserve">We believe we have built a robust and resilient supply chain that will meet the demand profile of hyperscalers, which requires quality assurance and an ability to rapidly scale volume production. We have a strong manufacturing relationship with TSMC, and we qualify multiple suppliers and vendors, enabling us to better weather potential unforeseen supply chain disruptions. </w:t>
      </w:r>
    </w:p>
    <w:p>
      <w:pPr>
        <w:pStyle w:val="TextBody"/>
        <w:bidi w:val="0"/>
        <w:spacing w:before="120" w:after="0"/>
        <w:jc w:val="both"/>
        <w:rPr>
          <w:rFonts w:ascii="Times New Roman" w:hAnsi="Times New Roman"/>
          <w:sz w:val="20"/>
        </w:rPr>
      </w:pPr>
      <w:r>
        <w:rPr>
          <w:rFonts w:ascii="Times New Roman" w:hAnsi="Times New Roman"/>
          <w:b/>
          <w:i/>
          <w:sz w:val="20"/>
        </w:rPr>
        <w:t>Experienced management team with a proven track record of execution and innovation</w:t>
      </w:r>
      <w:r>
        <w:rPr>
          <w:rFonts w:ascii="Times New Roman" w:hAnsi="Times New Roman"/>
          <w:i/>
          <w:sz w:val="20"/>
        </w:rPr>
        <w:t xml:space="preserve">. </w:t>
      </w:r>
      <w:r>
        <w:rPr>
          <w:rFonts w:ascii="Times New Roman" w:hAnsi="Times New Roman"/>
          <w:sz w:val="20"/>
        </w:rPr>
        <w:t xml:space="preserve">We have assembled seasoned leaders in IC, board, module, software, and system engineering to solve the connectivity challenges in cloud and AI infrastructure. Our founding team has spent the last three decades developing and commercializing connectivity products, and has a track record of successfully scaling leading semiconductor businesses and launching category-defining new products. We have further strengthened our senior leadership team by bringing in industry thought leaders with expertise in high-speed connectivity. Under their leadership, we have introduced three product families across multiple form factors including ICs, boards, and modules and feature SKU variants, with our Aries and Taurus product families already shipping second generation products. Over the last four years, we have introduced products at a steady cadence with leading PCIe, Ethernet, and CXL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Hyperscalers are in the initial stages of a multi-year investment cycle to build out next-generation cloud and AI infrastructure. According to estimates from DellOro, worldwide data center infrastructure capital expenditures are expected to grow from $264.9 billion in 2023 to $503.4 billion by 2027. Over the same period, DellOro projects that total servers deployed will grow from approximately 14.0 million units in 2023 to over 20.5 million units in 2027. According to DellOro, accelerated servers for AI applications represent the fastest growing segment of the server market with shipments forecasted to expand from 1.2 million units in 2023 to nearly 3.4 million units in 2027. Given our singular focus on cloud and AI connectivity to date, we are strongly positioned to address the large and growing cloud and AI market opportunities for mission critical connectivity solutions.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 cy="33718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6580" cy="33718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technology and product portfolios target the global wired connectivity and CXL memory connectivity controller markets. According to Gartner®, within global wired communication electronics, the wired connectivity market is poised to grow from $16.9 billion in 2023 to over $23.0 billion in 2027. For CXL memory connectivity controller, Yole Intelligence, part of Yole Group, forecasts that nearly 100% of data center server CPUs will be CXL-capable by 2027. We estimate this will drive a CXL memory connectivity controller TAM of $4.4 billion in 2027. In aggregate, we estimate that our TAM will grow from approximately $17.2 billion in 2023 to nearly $27.4 billion in 2027. </w:t>
      </w:r>
    </w:p>
    <w:p>
      <w:pPr>
        <w:pStyle w:val="TextBody"/>
        <w:bidi w:val="0"/>
        <w:spacing w:before="240" w:after="0"/>
        <w:jc w:val="both"/>
        <w:rPr>
          <w:rFonts w:ascii="Times New Roman" w:hAnsi="Times New Roman"/>
          <w:sz w:val="20"/>
        </w:rPr>
      </w:pPr>
      <w:r>
        <w:rPr>
          <w:rFonts w:ascii="Times New Roman" w:hAnsi="Times New Roman"/>
          <w:sz w:val="20"/>
        </w:rPr>
        <w:t xml:space="preserve">Within this TAM, we are particularly well positioned to benefit from several of its fastest growing segments, listed below. </w:t>
      </w:r>
    </w:p>
    <w:p>
      <w:pPr>
        <w:pStyle w:val="TextBody"/>
        <w:bidi w:val="0"/>
        <w:spacing w:before="120" w:after="0"/>
        <w:jc w:val="both"/>
        <w:rPr>
          <w:rFonts w:ascii="Times New Roman" w:hAnsi="Times New Roman"/>
          <w:sz w:val="20"/>
        </w:rPr>
      </w:pPr>
      <w:r>
        <w:rPr>
          <w:rFonts w:ascii="Times New Roman" w:hAnsi="Times New Roman"/>
          <w:b/>
          <w:i/>
          <w:sz w:val="20"/>
        </w:rPr>
        <w:t>PCIe</w:t>
      </w:r>
      <w:r>
        <w:rPr>
          <w:rFonts w:ascii="Times New Roman" w:hAnsi="Times New Roman"/>
          <w:sz w:val="20"/>
        </w:rPr>
        <w:t xml:space="preserve">. PCIe connectivity solutions are highly pervasive throughout data center infrastructure with ICs designed into 95% of global servers, according to ABI Research. Also, ABI Research projects PCIe connectivity solutions in the data center will grow from $4.1 billion in 2023 to $6.6 billion in 2027. Importantly, according to ABI Research, AI applications represent one of the fastest growing market opportunities for PCIe in the data center and are expected to expand from $630 million in 2023 to $1.6 billion in 2027, representing a four-year CAGR of 27%. Our Aries product family currently addresses a portion of this market opportunity, and we expect our ability to address more of this market opportunity to increase over time as we introduce new products and add features and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Ethernet</w:t>
      </w:r>
      <w:r>
        <w:rPr>
          <w:rFonts w:ascii="Times New Roman" w:hAnsi="Times New Roman"/>
          <w:sz w:val="20"/>
        </w:rPr>
        <w:t xml:space="preserve">. Ethernet connectivity solutions in the data center are poised to grow from $4.0 billion in 2023 to $5.8 billion in 2027, according to 650 Group. With Ethernet networking applications transitioning to high-speed 400G/800G data links, 650 Group projects Active Electrical Cables (AEC) will represent 63% of cloud NIC-to-ToR interconnects in 2027. We estimate this transition will drive the AEC module TAM from approximately $70 million in 2023 to approximately $1.3 billion in 2027, representing a four-year CAGR of 108%. Our Taurus product family holistically addresses the AEC market opportunity, and we expect our ability to address more of the Ethernet market opportunity to increase over time as we introduce new products and add features and capabilities. </w:t>
      </w:r>
    </w:p>
    <w:p>
      <w:pPr>
        <w:pStyle w:val="TextBody"/>
        <w:bidi w:val="0"/>
        <w:spacing w:before="120" w:after="0"/>
        <w:jc w:val="both"/>
        <w:rPr>
          <w:rFonts w:ascii="Times New Roman" w:hAnsi="Times New Roman"/>
          <w:sz w:val="20"/>
        </w:rPr>
      </w:pPr>
      <w:r>
        <w:rPr>
          <w:rFonts w:ascii="Times New Roman" w:hAnsi="Times New Roman"/>
          <w:b/>
          <w:i/>
          <w:sz w:val="20"/>
        </w:rPr>
        <w:t>CXL</w:t>
      </w:r>
      <w:r>
        <w:rPr>
          <w:rFonts w:ascii="Times New Roman" w:hAnsi="Times New Roman"/>
          <w:sz w:val="20"/>
        </w:rPr>
        <w:t xml:space="preserve">. CXL connectivity solutions are in the early stages of market adoption, with the high-volume deployment of next-generation CXL-capable server CPUs representing the key catalyst for broad-based CXL utilization. Yole Intelligence, part of Yole Group, is projecting that 60% of data center server CPUs will be CXL-capable in 2025, and nearly 100% CXL-capable by 2027. Based on Yole Intelligence, part of Yole Group, trajectory for CXL-capable server CPUs, we estimate the CXL memory controller market opportunity will expand from $265 million in 2023 to $4.4 billion in 2027, representing a four-year CAGR of 102%. Our Leo product family addresses the CXL memory connectivity controller market opportunity, and we expect to accelerate CXL memory connectivity controller adoption over time as we introduce new products and add more features and capabilities. </w:t>
      </w:r>
    </w:p>
    <w:p>
      <w:pPr>
        <w:pStyle w:val="TextBody"/>
        <w:bidi w:val="0"/>
        <w:spacing w:before="240" w:after="0"/>
        <w:jc w:val="both"/>
        <w:rPr>
          <w:rFonts w:ascii="Times New Roman" w:hAnsi="Times New Roman"/>
          <w:sz w:val="20"/>
        </w:rPr>
      </w:pPr>
      <w:r>
        <w:rPr>
          <w:rFonts w:ascii="Times New Roman" w:hAnsi="Times New Roman"/>
          <w:sz w:val="20"/>
        </w:rPr>
        <w:t xml:space="preserve">We expect to introduce new product families that will enable us to service a larger percentage of the broader wired connectivity market opportunity over time. Additionally, we believe our current technology and product portfolios address incremental market opportunities outside of our global wired connectivity and CXL memory connectivity controller TAM. With a focus on solving mission-critical connectivity challenges for compute-intensive applications, wireless communications electronics and automotive markets are examples of additive market opportunities, which are not included in our TAM today and represent $2.7 billion and $3.9 billion market opportunities, respectively, in 2027, according to Gartner®.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Strategies </w:t>
      </w:r>
    </w:p>
    <w:p>
      <w:pPr>
        <w:pStyle w:val="TextBody"/>
        <w:bidi w:val="0"/>
        <w:spacing w:before="120" w:after="0"/>
        <w:jc w:val="both"/>
        <w:rPr>
          <w:rFonts w:ascii="Times New Roman" w:hAnsi="Times New Roman"/>
          <w:sz w:val="20"/>
        </w:rPr>
      </w:pPr>
      <w:r>
        <w:rPr>
          <w:rFonts w:ascii="Times New Roman" w:hAnsi="Times New Roman"/>
          <w:sz w:val="20"/>
        </w:rPr>
        <w:t xml:space="preserve">Today, our connectivity solutions are at the heart of major AI platforms deployed worldwide, featuring both commercially available GPUs and proprietary AI accelerators. We have become a trusted partner and a proven supplier to our hyperscaler and system OEM customers. Building on this foundation, the strategic tenets of our growth strategy include: </w:t>
      </w:r>
    </w:p>
    <w:p>
      <w:pPr>
        <w:pStyle w:val="TextBody"/>
        <w:bidi w:val="0"/>
        <w:spacing w:before="120" w:after="0"/>
        <w:jc w:val="both"/>
        <w:rPr>
          <w:rFonts w:ascii="Times New Roman" w:hAnsi="Times New Roman"/>
          <w:sz w:val="20"/>
        </w:rPr>
      </w:pPr>
      <w:r>
        <w:rPr>
          <w:rFonts w:ascii="Times New Roman" w:hAnsi="Times New Roman"/>
          <w:b/>
          <w:i/>
          <w:sz w:val="20"/>
        </w:rPr>
        <w:t>Increase sales to our existing customers as cloud and AI workloads continue to grow exponentially</w:t>
      </w:r>
      <w:r>
        <w:rPr>
          <w:rFonts w:ascii="Times New Roman" w:hAnsi="Times New Roman"/>
          <w:i/>
          <w:sz w:val="20"/>
        </w:rPr>
        <w:t>. </w:t>
      </w:r>
      <w:r>
        <w:rPr>
          <w:rFonts w:ascii="Times New Roman" w:hAnsi="Times New Roman"/>
          <w:sz w:val="20"/>
        </w:rPr>
        <w:t xml:space="preserve">We have established a leading market position with Aries, which is deployed across all of the major hyperscalers and system OEMs platforms, and we expect to drive future growth as our customers ramp up their platform deployments. Our Taurus and Leo product families are expected to further expand sales to our current customers as they complete technical qualification and are deployed across our customers cloud and AI infrastructure. </w:t>
      </w:r>
    </w:p>
    <w:p>
      <w:pPr>
        <w:pStyle w:val="TextBody"/>
        <w:bidi w:val="0"/>
        <w:spacing w:before="120" w:after="0"/>
        <w:jc w:val="both"/>
        <w:rPr>
          <w:rFonts w:ascii="Times New Roman" w:hAnsi="Times New Roman"/>
          <w:sz w:val="20"/>
        </w:rPr>
      </w:pPr>
      <w:r>
        <w:rPr>
          <w:rFonts w:ascii="Times New Roman" w:hAnsi="Times New Roman"/>
          <w:b/>
          <w:i/>
          <w:sz w:val="20"/>
        </w:rPr>
        <w:t>Increase</w:t>
      </w:r>
      <w:r>
        <w:rPr>
          <w:rFonts w:ascii="Times New Roman" w:hAnsi="Times New Roman"/>
          <w:sz w:val="20"/>
        </w:rPr>
        <w:t xml:space="preserve"> </w:t>
      </w:r>
      <w:r>
        <w:rPr>
          <w:rFonts w:ascii="Times New Roman" w:hAnsi="Times New Roman"/>
          <w:b/>
          <w:i/>
          <w:sz w:val="20"/>
        </w:rPr>
        <w:t>our</w:t>
      </w:r>
      <w:r>
        <w:rPr>
          <w:rFonts w:ascii="Times New Roman" w:hAnsi="Times New Roman"/>
          <w:sz w:val="20"/>
        </w:rPr>
        <w:t xml:space="preserve"> </w:t>
      </w:r>
      <w:r>
        <w:rPr>
          <w:rFonts w:ascii="Times New Roman" w:hAnsi="Times New Roman"/>
          <w:b/>
          <w:i/>
          <w:sz w:val="20"/>
        </w:rPr>
        <w:t>revenue-per-server-rack</w:t>
      </w:r>
      <w:r>
        <w:rPr>
          <w:rFonts w:ascii="Times New Roman" w:hAnsi="Times New Roman"/>
          <w:sz w:val="20"/>
        </w:rPr>
        <w:t xml:space="preserve"> </w:t>
      </w:r>
      <w:r>
        <w:rPr>
          <w:rFonts w:ascii="Times New Roman" w:hAnsi="Times New Roman"/>
          <w:b/>
          <w:i/>
          <w:sz w:val="20"/>
        </w:rPr>
        <w:t>with</w:t>
      </w:r>
      <w:r>
        <w:rPr>
          <w:rFonts w:ascii="Times New Roman" w:hAnsi="Times New Roman"/>
          <w:sz w:val="20"/>
        </w:rPr>
        <w:t xml:space="preserve"> </w:t>
      </w:r>
      <w:r>
        <w:rPr>
          <w:rFonts w:ascii="Times New Roman" w:hAnsi="Times New Roman"/>
          <w:b/>
          <w:i/>
          <w:sz w:val="20"/>
        </w:rPr>
        <w:t>generational</w:t>
      </w:r>
      <w:r>
        <w:rPr>
          <w:rFonts w:ascii="Times New Roman" w:hAnsi="Times New Roman"/>
          <w:sz w:val="20"/>
        </w:rPr>
        <w:t xml:space="preserve"> </w:t>
      </w:r>
      <w:r>
        <w:rPr>
          <w:rFonts w:ascii="Times New Roman" w:hAnsi="Times New Roman"/>
          <w:b/>
          <w:i/>
          <w:sz w:val="20"/>
        </w:rPr>
        <w:t>upgrades</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new</w:t>
      </w:r>
      <w:r>
        <w:rPr>
          <w:rFonts w:ascii="Times New Roman" w:hAnsi="Times New Roman"/>
          <w:sz w:val="20"/>
        </w:rPr>
        <w:t xml:space="preserve"> </w:t>
      </w:r>
      <w:r>
        <w:rPr>
          <w:rFonts w:ascii="Times New Roman" w:hAnsi="Times New Roman"/>
          <w:b/>
          <w:i/>
          <w:sz w:val="20"/>
        </w:rPr>
        <w:t>products</w:t>
      </w:r>
      <w:r>
        <w:rPr>
          <w:rFonts w:ascii="Times New Roman" w:hAnsi="Times New Roman"/>
          <w:i/>
          <w:sz w:val="20"/>
        </w:rPr>
        <w:t>.</w:t>
      </w:r>
      <w:r>
        <w:rPr>
          <w:rFonts w:ascii="Times New Roman" w:hAnsi="Times New Roman"/>
          <w:sz w:val="20"/>
        </w:rPr>
        <w:t xml:space="preserve"> We continue to invest in the development of new products and technologies that will address new types of functionalities and span additional form factors across new types of media: </w:t>
      </w:r>
    </w:p>
    <w:p>
      <w:pPr>
        <w:pStyle w:val="TextBody"/>
        <w:bidi w:val="0"/>
        <w:spacing w:before="120" w:after="0"/>
        <w:jc w:val="both"/>
        <w:rPr>
          <w:rFonts w:ascii="Times New Roman" w:hAnsi="Times New Roman"/>
          <w:sz w:val="20"/>
        </w:rPr>
      </w:pPr>
      <w:r>
        <w:rPr>
          <w:rFonts w:ascii="Times New Roman" w:hAnsi="Times New Roman"/>
          <w:b/>
          <w:i/>
          <w:sz w:val="20"/>
        </w:rPr>
        <w:t>Generational</w:t>
      </w:r>
      <w:r>
        <w:rPr>
          <w:rFonts w:ascii="Times New Roman" w:hAnsi="Times New Roman"/>
          <w:sz w:val="20"/>
        </w:rPr>
        <w:t xml:space="preserve"> </w:t>
      </w:r>
      <w:r>
        <w:rPr>
          <w:rFonts w:ascii="Times New Roman" w:hAnsi="Times New Roman"/>
          <w:b/>
          <w:i/>
          <w:sz w:val="20"/>
        </w:rPr>
        <w:t>upgrades</w:t>
      </w:r>
      <w:r>
        <w:rPr>
          <w:rFonts w:ascii="Times New Roman" w:hAnsi="Times New Roman"/>
          <w:sz w:val="20"/>
        </w:rPr>
        <w:t xml:space="preserve"> </w:t>
      </w:r>
      <w:r>
        <w:rPr>
          <w:rFonts w:ascii="Times New Roman" w:hAnsi="Times New Roman"/>
          <w:b/>
          <w:i/>
          <w:sz w:val="20"/>
        </w:rPr>
        <w:t>drive</w:t>
      </w:r>
      <w:r>
        <w:rPr>
          <w:rFonts w:ascii="Times New Roman" w:hAnsi="Times New Roman"/>
          <w:sz w:val="20"/>
        </w:rPr>
        <w:t xml:space="preserve"> </w:t>
      </w:r>
      <w:r>
        <w:rPr>
          <w:rFonts w:ascii="Times New Roman" w:hAnsi="Times New Roman"/>
          <w:b/>
          <w:i/>
          <w:sz w:val="20"/>
        </w:rPr>
        <w:t>increasing value for our product families</w:t>
      </w:r>
      <w:r>
        <w:rPr>
          <w:rFonts w:ascii="Times New Roman" w:hAnsi="Times New Roman"/>
          <w:sz w:val="20"/>
        </w:rPr>
        <w:t xml:space="preserve">  As a leading provider of connectivity products, we believe we are well positioned to address the challenges of accelerated computing, which are exacerbated by the proliferation of GenAI. As the industry deploys next-generation protocols such as PCIe Gen 6.0 and 7.0, 200Gbps per lane Ethernet connections, and CXL 4.0, we expect to provide updates to our product families that support generational upgrades at our hyperscaler customers. We expect each subsequent generational change in technology will drive an increase in our value proposition and enhance our revenue on a like-for-like basis compared to prior product generations. </w:t>
      </w:r>
    </w:p>
    <w:p>
      <w:pPr>
        <w:pStyle w:val="TextBody"/>
        <w:bidi w:val="0"/>
        <w:spacing w:before="120" w:after="0"/>
        <w:jc w:val="both"/>
        <w:rPr>
          <w:rFonts w:ascii="Times New Roman" w:hAnsi="Times New Roman"/>
          <w:sz w:val="20"/>
        </w:rPr>
      </w:pPr>
      <w:r>
        <w:rPr>
          <w:rFonts w:ascii="Times New Roman" w:hAnsi="Times New Roman"/>
          <w:b/>
          <w:i/>
          <w:sz w:val="20"/>
        </w:rPr>
        <w:t>Increase</w:t>
      </w:r>
      <w:r>
        <w:rPr>
          <w:rFonts w:ascii="Times New Roman" w:hAnsi="Times New Roman"/>
          <w:sz w:val="20"/>
        </w:rPr>
        <w:t xml:space="preserve"> </w:t>
      </w:r>
      <w:r>
        <w:rPr>
          <w:rFonts w:ascii="Times New Roman" w:hAnsi="Times New Roman"/>
          <w:b/>
          <w:i/>
          <w:sz w:val="20"/>
        </w:rPr>
        <w:t>in</w:t>
      </w:r>
      <w:r>
        <w:rPr>
          <w:rFonts w:ascii="Times New Roman" w:hAnsi="Times New Roman"/>
          <w:sz w:val="20"/>
        </w:rPr>
        <w:t xml:space="preserve"> </w:t>
      </w:r>
      <w:r>
        <w:rPr>
          <w:rFonts w:ascii="Times New Roman" w:hAnsi="Times New Roman"/>
          <w:b/>
          <w:i/>
          <w:sz w:val="20"/>
        </w:rPr>
        <w:t>attach</w:t>
      </w:r>
      <w:r>
        <w:rPr>
          <w:rFonts w:ascii="Times New Roman" w:hAnsi="Times New Roman"/>
          <w:sz w:val="20"/>
        </w:rPr>
        <w:t xml:space="preserve"> </w:t>
      </w:r>
      <w:r>
        <w:rPr>
          <w:rFonts w:ascii="Times New Roman" w:hAnsi="Times New Roman"/>
          <w:b/>
          <w:i/>
          <w:sz w:val="20"/>
        </w:rPr>
        <w:t>rates</w:t>
      </w:r>
      <w:r>
        <w:rPr>
          <w:rFonts w:ascii="Times New Roman" w:hAnsi="Times New Roman"/>
          <w:sz w:val="20"/>
        </w:rPr>
        <w:t xml:space="preserve">  We anticipate an increase in attach rates for our product families in next- generation system topologies due to higher data rates, larger physical system footprints, and greater memory bandwidth and capacity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Develop</w:t>
      </w:r>
      <w:r>
        <w:rPr>
          <w:rFonts w:ascii="Times New Roman" w:hAnsi="Times New Roman"/>
          <w:sz w:val="20"/>
        </w:rPr>
        <w:t xml:space="preserve"> </w:t>
      </w:r>
      <w:r>
        <w:rPr>
          <w:rFonts w:ascii="Times New Roman" w:hAnsi="Times New Roman"/>
          <w:b/>
          <w:i/>
          <w:sz w:val="20"/>
        </w:rPr>
        <w:t>new</w:t>
      </w:r>
      <w:r>
        <w:rPr>
          <w:rFonts w:ascii="Times New Roman" w:hAnsi="Times New Roman"/>
          <w:sz w:val="20"/>
        </w:rPr>
        <w:t xml:space="preserve"> </w:t>
      </w:r>
      <w:r>
        <w:rPr>
          <w:rFonts w:ascii="Times New Roman" w:hAnsi="Times New Roman"/>
          <w:b/>
          <w:i/>
          <w:sz w:val="20"/>
        </w:rPr>
        <w:t>products</w:t>
      </w:r>
      <w:r>
        <w:rPr>
          <w:rFonts w:ascii="Times New Roman" w:hAnsi="Times New Roman"/>
          <w:sz w:val="20"/>
        </w:rPr>
        <w:t xml:space="preserve"> </w:t>
      </w:r>
      <w:r>
        <w:rPr>
          <w:rFonts w:ascii="Times New Roman" w:hAnsi="Times New Roman"/>
          <w:b/>
          <w:i/>
          <w:sz w:val="20"/>
        </w:rPr>
        <w:t>to service</w:t>
      </w:r>
      <w:r>
        <w:rPr>
          <w:rFonts w:ascii="Times New Roman" w:hAnsi="Times New Roman"/>
          <w:sz w:val="20"/>
        </w:rPr>
        <w:t xml:space="preserve"> </w:t>
      </w:r>
      <w:r>
        <w:rPr>
          <w:rFonts w:ascii="Times New Roman" w:hAnsi="Times New Roman"/>
          <w:b/>
          <w:i/>
          <w:sz w:val="20"/>
        </w:rPr>
        <w:t>emerging</w:t>
      </w:r>
      <w:r>
        <w:rPr>
          <w:rFonts w:ascii="Times New Roman" w:hAnsi="Times New Roman"/>
          <w:sz w:val="20"/>
        </w:rPr>
        <w:t xml:space="preserve"> </w:t>
      </w:r>
      <w:r>
        <w:rPr>
          <w:rFonts w:ascii="Times New Roman" w:hAnsi="Times New Roman"/>
          <w:b/>
          <w:i/>
          <w:sz w:val="20"/>
        </w:rPr>
        <w:t xml:space="preserve">opportunities </w:t>
      </w:r>
      <w:r>
        <w:rPr>
          <w:rFonts w:ascii="Times New Roman" w:hAnsi="Times New Roman"/>
          <w:sz w:val="20"/>
        </w:rPr>
        <w:t xml:space="preserve"> Over time, we also expect to leverage our core semiconductor design, hardware expertise, and custom software assets to develop and introduce new product families and form factors that will enable us to service a larger percentage of the broader wired connectivity market opportunity. As cloud and AI infrastructure requirements scale, we foresee emerging use cases that require new products with added functionalities to solve data, network, and memory bottlenecks across multiple types of interconnects. These new development efforts will span incremental form factors across new types of media as well as address new types of functionalities. </w:t>
      </w:r>
    </w:p>
    <w:p>
      <w:pPr>
        <w:pStyle w:val="TextBody"/>
        <w:bidi w:val="0"/>
        <w:spacing w:before="240" w:after="0"/>
        <w:jc w:val="both"/>
        <w:rPr>
          <w:rFonts w:ascii="Times New Roman" w:hAnsi="Times New Roman"/>
          <w:sz w:val="20"/>
        </w:rPr>
      </w:pPr>
      <w:r>
        <w:rPr>
          <w:rFonts w:ascii="Times New Roman" w:hAnsi="Times New Roman"/>
          <w:b/>
          <w:i/>
          <w:sz w:val="20"/>
        </w:rPr>
        <w:t xml:space="preserve">Shape emerging connectivity standards to drive future product adoption. </w:t>
      </w:r>
      <w:r>
        <w:rPr>
          <w:rFonts w:ascii="Times New Roman" w:hAnsi="Times New Roman"/>
          <w:sz w:val="20"/>
        </w:rPr>
        <w:t xml:space="preserve">We are committed to participating in the establishment of new and next-generation standard connectivity protocols, providing us with insights to create products to continue to deliver better performance, versatility, and compatibility for cloud and AI infrastructure. As generational advancements in standard connectivity protocols emerge, we believe our proactive involvement with data center infrastructure ecosystem participants will enable us to grow our product offerings, ensuring sustained and robust growth. </w:t>
      </w:r>
    </w:p>
    <w:p>
      <w:pPr>
        <w:pStyle w:val="TextBody"/>
        <w:bidi w:val="0"/>
        <w:spacing w:before="120" w:after="0"/>
        <w:jc w:val="both"/>
        <w:rPr>
          <w:rFonts w:ascii="Times New Roman" w:hAnsi="Times New Roman"/>
          <w:sz w:val="20"/>
        </w:rPr>
      </w:pPr>
      <w:r>
        <w:rPr>
          <w:rFonts w:ascii="Times New Roman" w:hAnsi="Times New Roman"/>
          <w:b/>
          <w:i/>
          <w:sz w:val="20"/>
        </w:rPr>
        <w:t>Attract and acquire new and emerging customers focused on AI</w:t>
      </w:r>
      <w:r>
        <w:rPr>
          <w:rFonts w:ascii="Times New Roman" w:hAnsi="Times New Roman"/>
          <w:i/>
          <w:sz w:val="20"/>
        </w:rPr>
        <w:t xml:space="preserve">. </w:t>
      </w:r>
      <w:r>
        <w:rPr>
          <w:rFonts w:ascii="Times New Roman" w:hAnsi="Times New Roman"/>
          <w:sz w:val="20"/>
        </w:rPr>
        <w:t xml:space="preserve">We believe that we have a substantial opportunity to continue to grow our customer base. In addition to hyperscalers, we foresee emerging demand from companies that provide infrastructure for AI use cases, AI-dedicated data centers, and larger enterprises, as they begin to build proprietary systems with different architectural features to meet their unique requirements. As a leader in intelligent connectivity and as a partner with market leading GPU and CPU suppliers, we expect to be at the forefront of engaging with emerging cloud and AI infrastructure customers. </w:t>
      </w:r>
    </w:p>
    <w:p>
      <w:pPr>
        <w:pStyle w:val="TextBody"/>
        <w:bidi w:val="0"/>
        <w:spacing w:before="120" w:after="0"/>
        <w:jc w:val="both"/>
        <w:rPr>
          <w:rFonts w:ascii="Times New Roman" w:hAnsi="Times New Roman"/>
          <w:sz w:val="20"/>
        </w:rPr>
      </w:pPr>
      <w:r>
        <w:rPr>
          <w:rFonts w:ascii="Times New Roman" w:hAnsi="Times New Roman"/>
          <w:b/>
          <w:i/>
          <w:sz w:val="20"/>
        </w:rPr>
        <w:t>Leverage our differentiated products and technologies into new data intensive end-markets</w:t>
      </w:r>
      <w:r>
        <w:rPr>
          <w:rFonts w:ascii="Times New Roman" w:hAnsi="Times New Roman"/>
          <w:i/>
          <w:sz w:val="20"/>
        </w:rPr>
        <w:t xml:space="preserve">. </w:t>
      </w:r>
      <w:r>
        <w:rPr>
          <w:rFonts w:ascii="Times New Roman" w:hAnsi="Times New Roman"/>
          <w:sz w:val="20"/>
        </w:rPr>
        <w:t xml:space="preserve">We believe that the products and technologies that we have developed to solve connectivity problems for cloud and AI infrastructure can be leveraged for different use cases in adjacent growth markets for data-intensive applications. These markets include those for wireless communications infrastructure and automotive applications, including self-driving vehicles. </w:t>
      </w:r>
    </w:p>
    <w:p>
      <w:pPr>
        <w:pStyle w:val="TextBody"/>
        <w:bidi w:val="0"/>
        <w:spacing w:before="120" w:after="0"/>
        <w:jc w:val="both"/>
        <w:rPr>
          <w:rFonts w:ascii="Times New Roman" w:hAnsi="Times New Roman"/>
          <w:sz w:val="20"/>
        </w:rPr>
      </w:pPr>
      <w:r>
        <w:rPr>
          <w:rFonts w:ascii="Times New Roman" w:hAnsi="Times New Roman"/>
          <w:b/>
          <w:i/>
          <w:sz w:val="20"/>
        </w:rPr>
        <w:t xml:space="preserve">Selectively pursue strategic investments or acquisitions to enhance our competitive positioning. </w:t>
      </w:r>
      <w:r>
        <w:rPr>
          <w:rFonts w:ascii="Times New Roman" w:hAnsi="Times New Roman"/>
          <w:sz w:val="20"/>
        </w:rPr>
        <w:t xml:space="preserve">Although we expect to focus our growth strategies on organic expansion, we may pursue future investments or acquisitions that complement our Intelligent Connectivity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26415" cy="29273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26415" cy="2927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Products and Technology </w:t>
      </w:r>
    </w:p>
    <w:p>
      <w:pPr>
        <w:pStyle w:val="TextBody"/>
        <w:bidi w:val="0"/>
        <w:spacing w:before="120" w:after="0"/>
        <w:jc w:val="both"/>
        <w:rPr>
          <w:rFonts w:ascii="Times New Roman" w:hAnsi="Times New Roman"/>
          <w:sz w:val="20"/>
        </w:rPr>
      </w:pPr>
      <w:r>
        <w:rPr>
          <w:rFonts w:ascii="Times New Roman" w:hAnsi="Times New Roman"/>
          <w:sz w:val="20"/>
        </w:rPr>
        <w:t xml:space="preserve">Our differentiated Intelligent Connectivity Platform is comprised of a portfolio of data, network, and memory connectivity products, which are built upon a unifying software-defined architecture. Today, our platform is comprised of three product families: Aries, Taurus, and Leo. Each product family has been purpose-built for cloud and AI infrastructure.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675" cy="34925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4675" cy="349250"/>
                    </a:xfrm>
                    <a:prstGeom prst="rect">
                      <a:avLst/>
                    </a:prstGeom>
                  </pic:spPr>
                </pic:pic>
              </a:graphicData>
            </a:graphic>
          </wp:inline>
        </w:drawing>
      </w:r>
      <w:r>
        <w:rPr/>
        <w:t xml:space="preserve"> </w:t>
      </w:r>
    </w:p>
    <w:p>
      <w:pPr>
        <w:pStyle w:val="TextBody"/>
        <w:bidi w:val="0"/>
        <w:spacing w:before="480" w:after="0"/>
        <w:jc w:val="both"/>
        <w:rPr>
          <w:rFonts w:ascii="Times New Roman" w:hAnsi="Times New Roman"/>
          <w:sz w:val="20"/>
        </w:rPr>
      </w:pPr>
      <w:r>
        <w:rPr>
          <w:rFonts w:ascii="Times New Roman" w:hAnsi="Times New Roman"/>
          <w:sz w:val="20"/>
        </w:rPr>
        <w:t xml:space="preserve">Our products are available in multiple form factors, specifically: ICs, boards, and modules. Our semiconductor-based, high-speed, mixed-signal connectivity products are based on a software-defined architecture incorporating a matrix of microcontrollers and sensors, and COSMOS, our unifying software suite that is embedded in our products and integrated into our customers systems. </w:t>
      </w:r>
    </w:p>
    <w:p>
      <w:pPr>
        <w:pStyle w:val="TextBody"/>
        <w:bidi w:val="0"/>
        <w:spacing w:before="120" w:after="0"/>
        <w:jc w:val="both"/>
        <w:rPr>
          <w:rFonts w:ascii="Times New Roman" w:hAnsi="Times New Roman"/>
          <w:sz w:val="20"/>
        </w:rPr>
      </w:pPr>
      <w:r>
        <w:rPr>
          <w:rFonts w:ascii="Times New Roman" w:hAnsi="Times New Roman"/>
          <w:b/>
          <w:i/>
          <w:sz w:val="20"/>
        </w:rPr>
        <w:t>Aries PCIe®/CXL</w:t>
      </w:r>
      <w:r>
        <w:rPr>
          <w:rFonts w:ascii="Times New Roman" w:hAnsi="Times New Roman"/>
          <w:sz w:val="20"/>
        </w:rPr>
        <w:t xml:space="preserve"> </w:t>
      </w:r>
      <w:r>
        <w:rPr>
          <w:rFonts w:ascii="Times New Roman" w:hAnsi="Times New Roman"/>
          <w:b/>
          <w:i/>
          <w:sz w:val="20"/>
        </w:rPr>
        <w:t xml:space="preserve">Smart DSP Retimers (Aries). </w:t>
      </w:r>
      <w:r>
        <w:rPr>
          <w:rFonts w:ascii="Times New Roman" w:hAnsi="Times New Roman"/>
          <w:sz w:val="20"/>
        </w:rPr>
        <w:t xml:space="preserve">Our Aries products, which include our COSMOS software suite, are essential to enable higher bandwidth and low latency interconnect between various heterogeneous compute processors, storage, and network controllers. Aries ICs are used to digitally recover high-speed signals that have been significantly degraded traveling over printed circuit boards (PCBs) or cables, and then retransmit a clean copy of the signal in compliance with applicable high-speed data transfer standards. Retimer devices can double the physical reach between AI accelerators including GPUs, CPUs, NICs, and other PCIe/CXL devices, enabling system designers to build large, accelerated computing clusters. Our Aries products include our COSMOS software suite and are widely deployed across all of the major hyperscalers as well as private clouds managed by enterprises. </w:t>
      </w:r>
    </w:p>
    <w:p>
      <w:pPr>
        <w:pStyle w:val="TextBody"/>
        <w:bidi w:val="0"/>
        <w:spacing w:before="120" w:after="0"/>
        <w:jc w:val="both"/>
        <w:rPr>
          <w:rFonts w:ascii="Times New Roman" w:hAnsi="Times New Roman"/>
          <w:sz w:val="20"/>
        </w:rPr>
      </w:pPr>
      <w:r>
        <w:rPr>
          <w:rFonts w:ascii="Times New Roman" w:hAnsi="Times New Roman"/>
          <w:sz w:val="20"/>
        </w:rPr>
        <w:t xml:space="preserve">The Aries product family has the following differentiated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Purpose-built for cloud and AI infrastructure to double the reach of PCIe between devices (GPU, CPU, NIC, DPU, NVMe SSD, CXL) by compensating for up to 36dB of channel insertion loss at 32Gbps/lane or 1024Gbps per link;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Ultra-low latency data paths ideal for low-latency CXL memory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Software-defined architecture which leverages a matrix of microcontrollers and sensors to ensure robust interoperation between links while fully complying with complex PCIe/CXL protocols, and real-time monitoring of link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Stress tested at our Interop Lab with all major GPUs, other AI accelerators including proprietary in-house processors from hyperscalers, CPUs, switches, and over 30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COSMOS software suite for advanced link management, deep diagnostics, lane margining, and enhanced telemetry to ensure infrastructure uptime;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Regular COSMOS software updates, enhancements, and new features roll 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Flexible configuration options to support multiple link widths (x16, x8, x4, x2), which automatically support link width and link speed degradation as well as support lane reversal for ease of PCB layout;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Integrated AC-coupling capacitors to reduce overall system BOM cost and improve signal integrity performance.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Aries is in its second generation, and includes multiple products to support PCIe 4.0, PCIe 5.0, and CXL 1.1, in x16 and x8 package configurations. </w:t>
      </w:r>
    </w:p>
    <w:p>
      <w:pPr>
        <w:pStyle w:val="TextBody"/>
        <w:bidi w:val="0"/>
        <w:spacing w:before="120" w:after="0"/>
        <w:jc w:val="both"/>
        <w:rPr>
          <w:rFonts w:ascii="Times New Roman" w:hAnsi="Times New Roman"/>
          <w:sz w:val="20"/>
        </w:rPr>
      </w:pPr>
      <w:r>
        <w:rPr>
          <w:rFonts w:ascii="Times New Roman" w:hAnsi="Times New Roman"/>
          <w:b/>
          <w:i/>
          <w:sz w:val="20"/>
        </w:rPr>
        <w:t>Taurus Ethernet Smart Cable Modules</w:t>
      </w:r>
      <w:r>
        <w:rPr>
          <w:rFonts w:ascii="Times New Roman" w:hAnsi="Times New Roman"/>
          <w:sz w:val="20"/>
        </w:rPr>
        <w:t xml:space="preserve"> </w:t>
      </w:r>
      <w:r>
        <w:rPr>
          <w:rFonts w:ascii="Times New Roman" w:hAnsi="Times New Roman"/>
          <w:b/>
          <w:i/>
          <w:sz w:val="20"/>
        </w:rPr>
        <w:t xml:space="preserve">(Taurus). </w:t>
      </w:r>
      <w:r>
        <w:rPr>
          <w:rFonts w:ascii="Times New Roman" w:hAnsi="Times New Roman"/>
          <w:sz w:val="20"/>
        </w:rPr>
        <w:t xml:space="preserve">Our Taurus products are hardware modules based on our Taurus ICs that increase network connectivity bandwidth between servers and switches over copper media. Taurus modules incorporate our COSMOS software suite and extend Ethernet signaling reach at higher data rates to provide cost-effective, rack-level network connectivity for cloud and AI infrastructure and remove rack-level Ethernet connectivity bottlenecks. At the heart of our Taurus products is our COSMOS software suite, which delivers advanced diagnostics and seamless in-field upgrades. </w:t>
      </w:r>
    </w:p>
    <w:p>
      <w:pPr>
        <w:pStyle w:val="TextBody"/>
        <w:bidi w:val="0"/>
        <w:spacing w:before="120" w:after="0"/>
        <w:jc w:val="both"/>
        <w:rPr>
          <w:rFonts w:ascii="Times New Roman" w:hAnsi="Times New Roman"/>
          <w:sz w:val="20"/>
        </w:rPr>
      </w:pPr>
      <w:r>
        <w:rPr>
          <w:rFonts w:ascii="Times New Roman" w:hAnsi="Times New Roman"/>
          <w:sz w:val="20"/>
        </w:rPr>
        <w:t xml:space="preserve">Taurus can remove rack-level Ethernet connectivity bottlenecks by overcoming reach, signal integrity, and bandwidth utilization issues in up to 100Gbps per lane in copper media connectivity applications. By aggregating multiple lanes, Taurus enables 200/400/800Gbps Ethernet Switch-to-Switch and Switch-to-Server connections over thinner, lighter cables, and is optimized for high-density, high-throughput cloud and AI infrastructure rack configurations that demand longer reach, greater airflow, and simple cable management. </w:t>
      </w:r>
    </w:p>
    <w:p>
      <w:pPr>
        <w:pStyle w:val="TextBody"/>
        <w:bidi w:val="0"/>
        <w:spacing w:before="120" w:after="0"/>
        <w:jc w:val="both"/>
        <w:rPr>
          <w:rFonts w:ascii="Times New Roman" w:hAnsi="Times New Roman"/>
          <w:sz w:val="20"/>
        </w:rPr>
      </w:pPr>
      <w:r>
        <w:rPr>
          <w:rFonts w:ascii="Times New Roman" w:hAnsi="Times New Roman"/>
          <w:sz w:val="20"/>
        </w:rPr>
        <w:t xml:space="preserve">Taurus modules are customized to individual hyperscaler requirements and are used by multiple cable manufacturers to assemble full active electrical cables. This business model offers two differentiated advantages to our hyperscaler customers: </w:t>
      </w:r>
    </w:p>
    <w:p>
      <w:pPr>
        <w:pStyle w:val="TextBody"/>
        <w:bidi w:val="0"/>
        <w:spacing w:before="120" w:after="0"/>
        <w:jc w:val="both"/>
        <w:rPr>
          <w:rFonts w:ascii="Times New Roman" w:hAnsi="Times New Roman"/>
          <w:sz w:val="20"/>
        </w:rPr>
      </w:pPr>
      <w:r>
        <w:rPr>
          <w:rFonts w:ascii="Times New Roman" w:hAnsi="Times New Roman"/>
          <w:sz w:val="20"/>
        </w:rPr>
        <w:t xml:space="preserve">i) Taurus provides a consistent electrical interface to the host (server or switch) for managing high speed signal integrity, and a common software interface via our COSMOS software suite for managing diagnostics, telemetry, and in-field updates. This greatly simplifies validation, qualification, and generational upgrades for our customers; </w:t>
      </w:r>
    </w:p>
    <w:p>
      <w:pPr>
        <w:pStyle w:val="TextBody"/>
        <w:bidi w:val="0"/>
        <w:spacing w:before="120" w:after="0"/>
        <w:jc w:val="both"/>
        <w:rPr>
          <w:rFonts w:ascii="Times New Roman" w:hAnsi="Times New Roman"/>
          <w:sz w:val="20"/>
        </w:rPr>
      </w:pPr>
      <w:r>
        <w:rPr>
          <w:rFonts w:ascii="Times New Roman" w:hAnsi="Times New Roman"/>
          <w:sz w:val="20"/>
        </w:rPr>
        <w:t xml:space="preserve">ii) Taurus ensures a diverse cable supply chain for our customers by enabling multiple cable manufacturers to readily meet hyperscalers stringent system qualification requirements by integrating Taurus proven designs with manufacturing ready hardware and software into their cable assembly processes. Cable manufacturers continue to bring innovation to bulk cable technology and offer multiple cable length configurations to our hyperscaler customers. </w:t>
      </w:r>
    </w:p>
    <w:p>
      <w:pPr>
        <w:pStyle w:val="TextBody"/>
        <w:bidi w:val="0"/>
        <w:spacing w:before="120" w:after="0"/>
        <w:jc w:val="both"/>
        <w:rPr>
          <w:rFonts w:ascii="Times New Roman" w:hAnsi="Times New Roman"/>
          <w:sz w:val="20"/>
        </w:rPr>
      </w:pPr>
      <w:r>
        <w:rPr>
          <w:rFonts w:ascii="Times New Roman" w:hAnsi="Times New Roman"/>
          <w:sz w:val="20"/>
        </w:rPr>
        <w:t xml:space="preserve">Taurus offers the following differentiated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 to three-meter reach over thin copper cables to enable the length and flexibility needed for rack-level data center connectivity that is critical for cloud and AI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 bandwidth and low latency data paths, which are necessary for accelerated computing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Lower power consumption, increased reliability, and lower TCO compared to active optical cables;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Gearbox capability resolves rate mismatch between network interface cards and switches through aggregation and disaggregation of individual lanes, enabling cost-effective and power efficient conversion of data streams at one rate to multiple streams at a lower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Scalable for 200Gbps/400Gbps/800Gbps per module Ethernet connections;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COSMOS software suite delivering extensive diagnostics, link management, telemetry, and in-field software updates;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Compatible with multiple cable vendors for easy multi-sourcing of active cable assemblies from a diverse supply chain. </w:t>
            </w:r>
          </w:p>
        </w:tc>
      </w:tr>
    </w:tbl>
    <w:p>
      <w:pPr>
        <w:pStyle w:val="TextBody"/>
        <w:bidi w:val="0"/>
        <w:spacing w:before="120" w:after="0"/>
        <w:jc w:val="both"/>
        <w:rPr>
          <w:rFonts w:ascii="Times New Roman" w:hAnsi="Times New Roman"/>
          <w:sz w:val="20"/>
        </w:rPr>
      </w:pPr>
      <w:r>
        <w:rPr>
          <w:rFonts w:ascii="Times New Roman" w:hAnsi="Times New Roman"/>
          <w:sz w:val="20"/>
        </w:rPr>
        <w:t xml:space="preserve">Now in its third generation, Taurus includes multiple module products to support 200GbE, 400GbE, 800GbE in Quad Small Form-Factor Pluggable (QSFP), Quad Small Form-Factor Pluggable Double Density (QSFP-DD), and Octal Small Form Factor Pluggable (OSFP) form factors with a variety of cable configurations. </w:t>
      </w:r>
    </w:p>
    <w:p>
      <w:pPr>
        <w:pStyle w:val="TextBody"/>
        <w:bidi w:val="0"/>
        <w:spacing w:before="120" w:after="0"/>
        <w:jc w:val="both"/>
        <w:rPr>
          <w:rFonts w:ascii="Times New Roman" w:hAnsi="Times New Roman"/>
          <w:sz w:val="20"/>
        </w:rPr>
      </w:pPr>
      <w:r>
        <w:rPr>
          <w:rFonts w:ascii="Times New Roman" w:hAnsi="Times New Roman"/>
          <w:b/>
          <w:i/>
          <w:sz w:val="20"/>
        </w:rPr>
        <w:t xml:space="preserve">Leo CXL Memory Connectivity Controller (Leo). </w:t>
      </w:r>
      <w:r>
        <w:rPr>
          <w:rFonts w:ascii="Times New Roman" w:hAnsi="Times New Roman"/>
          <w:sz w:val="20"/>
        </w:rPr>
        <w:t xml:space="preserve">Leo products include the Leo IC memory connectivity controller and Aurora add-in-card (AIC) boards to overcome processor memory bandwidth bottlenecks and capacity limitations inherent in accelerated computing architectures. Leo includes our COSMOS software suite that supports built-in fleet management with extensive diagnostics, health monitoring, and advanced RAS capabilities. Leo products enable attaching industry standard DDR5 memory to CPUs and AI accelerators over a high-speed serial link. </w:t>
      </w:r>
    </w:p>
    <w:p>
      <w:pPr>
        <w:pStyle w:val="TextBody"/>
        <w:bidi w:val="0"/>
        <w:spacing w:before="120" w:after="0"/>
        <w:jc w:val="both"/>
        <w:rPr>
          <w:rFonts w:ascii="Times New Roman" w:hAnsi="Times New Roman"/>
          <w:sz w:val="20"/>
        </w:rPr>
      </w:pPr>
      <w:r>
        <w:rPr>
          <w:rFonts w:ascii="Times New Roman" w:hAnsi="Times New Roman"/>
          <w:sz w:val="20"/>
        </w:rPr>
        <w:t xml:space="preserve">Leo is a leading CXL memory connectivity controller that addresses the memory wall challenges by enabling cost-effective and scalable memory expansion, pooling, and sharing, enabling multiple components in accelerated computing architectures to access the same memory. Working in close collaboration with CPU manufacturers, we believe Leo is the first product with unique hardware features to deliver the benefits of CXL memory expansion without requiring any change to application software. Additionally, Leo also supports memory tiers for CXL-aware applications. In addition to significant memory bandwidth and capacity performance, Leo utilizes COSMOS to customize the solution for specific server grade memory management requirements, deliver unparalleled telemetry, diagnostics, memory stress tests, and in-field software updates. </w:t>
      </w:r>
    </w:p>
    <w:p>
      <w:pPr>
        <w:pStyle w:val="TextBody"/>
        <w:bidi w:val="0"/>
        <w:spacing w:before="120" w:after="0"/>
        <w:jc w:val="both"/>
        <w:rPr>
          <w:rFonts w:ascii="Times New Roman" w:hAnsi="Times New Roman"/>
          <w:sz w:val="20"/>
        </w:rPr>
      </w:pPr>
      <w:r>
        <w:rPr>
          <w:rFonts w:ascii="Times New Roman" w:hAnsi="Times New Roman"/>
          <w:sz w:val="20"/>
        </w:rPr>
        <w:t xml:space="preserve">Since its introduction in 2022, Leo has established a leadership position owing to the following differentiated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Purpose-built for cloud, AI, and other memory-intensive workloads;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Maintains memory coherency between directly attached processor memory and CXL attached memory;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Supports memory expansion with two channels of DDR5-5600 memory modules with up to 2TB total capacity while fully utilizing the available bandwidth of a x16 CXL 2.0 interface;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Delivers up to 50% more memory bandwidth and 50% more memory capacity when coupled with leading CXL 1.1+ CPUs;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COSMOS software fully integrates with cloud operating software to holistically manage DRAM memory attached to a Leo memory connectivity controller;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Supports memory pooling to reduce memory stranding and memory sharing to improve data transfer efficiency between processors;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High bandwidth and ultra-low latency data paths to maximize application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Seamless interoperation with major CXL-enabled processors such as GPU, other AI accelerators, CPUs, and DDR5 memory modules;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Temperature and health monitoring of Leo memory controllers and attached memory modules;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Server-grade customizable RAS features to maximize server up-time and reduce operational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Security features fully aligned with industry specifications to ensure device and firmware integrity for cloud deployment;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CXL 2.0 integrity and data encryption to provide end-to-end protection of data on the CXL link;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Offered as an IC for custom board designs and in a PCIe add-in-card form factor for easy plug-and-play deployment. </w:t>
            </w:r>
          </w:p>
        </w:tc>
      </w:tr>
    </w:tbl>
    <w:p>
      <w:pPr>
        <w:pStyle w:val="TextBody"/>
        <w:bidi w:val="0"/>
        <w:spacing w:before="120" w:after="0"/>
        <w:jc w:val="both"/>
        <w:rPr>
          <w:rFonts w:ascii="Times New Roman" w:hAnsi="Times New Roman"/>
          <w:sz w:val="20"/>
        </w:rPr>
      </w:pPr>
      <w:r>
        <w:rPr>
          <w:rFonts w:ascii="Times New Roman" w:hAnsi="Times New Roman"/>
          <w:b/>
          <w:i/>
          <w:sz w:val="20"/>
        </w:rPr>
        <w:t xml:space="preserve">COSMOS Software Suite. </w:t>
      </w:r>
      <w:r>
        <w:rPr>
          <w:rFonts w:ascii="Times New Roman" w:hAnsi="Times New Roman"/>
          <w:sz w:val="20"/>
        </w:rPr>
        <w:t xml:space="preserve">Our COnnectivity System Management and Optimization Software, or COSMOS software suite, is foundational to our Intelligent Connectivity Platform. COSMOS is designed to enable our hyperscaler customers to seamlessly configure, manage, monitor, optimize, troubleshoot, and customize functions in our IC, module, and board products. COSMOS has a software component that operates on our customers BMC, SMC, BIOS, and/or operating system, and interfaces with other COSMOS software components running on microcontrollers integrated into our IC devices and hardware modules. </w:t>
      </w:r>
    </w:p>
    <w:p>
      <w:pPr>
        <w:pStyle w:val="TextBody"/>
        <w:bidi w:val="0"/>
        <w:spacing w:before="120" w:after="0"/>
        <w:jc w:val="both"/>
        <w:rPr>
          <w:rFonts w:ascii="Times New Roman" w:hAnsi="Times New Roman"/>
          <w:sz w:val="20"/>
        </w:rPr>
      </w:pPr>
      <w:r>
        <w:rPr>
          <w:rFonts w:ascii="Times New Roman" w:hAnsi="Times New Roman"/>
          <w:sz w:val="20"/>
        </w:rPr>
        <w:t xml:space="preserve">Our software suite provides three distinct capabilities to our customers: </w:t>
      </w:r>
    </w:p>
    <w:p>
      <w:pPr>
        <w:pStyle w:val="TextBody"/>
        <w:bidi w:val="0"/>
        <w:spacing w:before="120" w:after="0"/>
        <w:jc w:val="both"/>
        <w:rPr>
          <w:rFonts w:ascii="Times New Roman" w:hAnsi="Times New Roman"/>
          <w:sz w:val="20"/>
        </w:rPr>
      </w:pPr>
      <w:r>
        <w:rPr>
          <w:rFonts w:ascii="Times New Roman" w:hAnsi="Times New Roman"/>
          <w:b/>
          <w:i/>
          <w:sz w:val="20"/>
        </w:rPr>
        <w:t>Link Management</w:t>
      </w:r>
      <w:r>
        <w:rPr>
          <w:rFonts w:ascii="Times New Roman" w:hAnsi="Times New Roman"/>
          <w:i/>
          <w:sz w:val="20"/>
        </w:rPr>
        <w:t xml:space="preserve">. </w:t>
      </w:r>
      <w:r>
        <w:rPr>
          <w:rFonts w:ascii="Times New Roman" w:hAnsi="Times New Roman"/>
          <w:sz w:val="20"/>
        </w:rPr>
        <w:t xml:space="preserve">A critical purpose of our COSMOS software suite is to ensure secure and robust data link communication between devices in a computing system. Software is authenticated using on-chip security modules which ensure only trusted-source microcode is executed and only trusted entities have permission to update the microcode. Each data link typically includes a large number of data lanes. Our software autonomously manages data links over wide operating conditions to ensure reliable operation. Link formation is managed through software-defined protocol engines which conform to industry standards (e.g., PCIe, Ethernet, and CXL) while maintaining the flexibility needed to support specific hyperscaler customer requirements. The link management software is application and system-aware and can optimize signaling (e.g., equalization parameters or signal levels) and protocol parameters (e.g., data path latency or link state timeouts), based on the specific application or system needs. If a data link does become unstable (e.g., due to overheating or degrading components), our software can retrain the link to restore stability or manage the data rate to ensure robust data communication. In some cases of link instability, our software can be empowered, depending on customer preference, to autonomously act to restore link stability and normal operating conditions (e.g., throttling speed to mitigate over-temperature conditions). </w:t>
      </w:r>
    </w:p>
    <w:p>
      <w:pPr>
        <w:pStyle w:val="TextBody"/>
        <w:bidi w:val="0"/>
        <w:spacing w:before="120" w:after="0"/>
        <w:jc w:val="both"/>
        <w:rPr>
          <w:rFonts w:ascii="Times New Roman" w:hAnsi="Times New Roman"/>
          <w:sz w:val="20"/>
        </w:rPr>
      </w:pPr>
      <w:r>
        <w:rPr>
          <w:rFonts w:ascii="Times New Roman" w:hAnsi="Times New Roman"/>
          <w:b/>
          <w:i/>
          <w:sz w:val="20"/>
        </w:rPr>
        <w:t>Fleet Management</w:t>
      </w:r>
      <w:r>
        <w:rPr>
          <w:rFonts w:ascii="Times New Roman" w:hAnsi="Times New Roman"/>
          <w:i/>
          <w:sz w:val="20"/>
        </w:rPr>
        <w:t xml:space="preserve">. </w:t>
      </w:r>
      <w:r>
        <w:rPr>
          <w:rFonts w:ascii="Times New Roman" w:hAnsi="Times New Roman"/>
          <w:sz w:val="20"/>
        </w:rPr>
        <w:t xml:space="preserve">COSMOS allows real-time monitoring of and predictive maintenance for server fleets. Our hyperscaler customers gather detailed performance data over time from millions of links, including link performance. Data from device-level software components is communicated to platform-level software to provide fleet-level insights. This allows for proactive and predictive maintenance of degraded hardware as well as reassignment of customer workloads to healthy hardware. The health analysis encompasses physical layer, protocol layer, and environmental factors. Device/module-level software components maintain time-stamped event logs in light-weight formats which can be aggregated into fleet-level system event logs (SELs) and verbose formats which aid in triaging unexpected link incidents. Insights from low-level parameters (e.g., electrical eye opening, signal to noise ratio, bit error rate) and high-level parameters (e.g., device temperature, voltage supply levels, link stability) are communicated up to platform-level monitoring software for fleet-level trend analytics. </w:t>
      </w:r>
    </w:p>
    <w:p>
      <w:pPr>
        <w:pStyle w:val="TextBody"/>
        <w:bidi w:val="0"/>
        <w:spacing w:before="120" w:after="0"/>
        <w:jc w:val="both"/>
        <w:rPr>
          <w:rFonts w:ascii="Times New Roman" w:hAnsi="Times New Roman"/>
          <w:sz w:val="20"/>
        </w:rPr>
      </w:pPr>
      <w:r>
        <w:rPr>
          <w:rFonts w:ascii="Times New Roman" w:hAnsi="Times New Roman"/>
          <w:b/>
          <w:i/>
          <w:sz w:val="20"/>
        </w:rPr>
        <w:t xml:space="preserve">RAS. </w:t>
      </w:r>
      <w:r>
        <w:rPr>
          <w:rFonts w:ascii="Times New Roman" w:hAnsi="Times New Roman"/>
          <w:sz w:val="20"/>
        </w:rPr>
        <w:t xml:space="preserve">Our software suite enables RAS capabilities by detecting, reporting, and testing the data and memory links supported by our product families. A systems ability to operate continuously with a certain level of performance, while minimizing time needed to service that system, is a critical aspect of a fleets TCO. COSMOS software, particularly components running inside the device/module, enable RAS capabilities by detecting, reporting, and (in some cases) injecting errors in the links supported by our products. On-chip data integrity modules check for a variety of error conditions (e.g., data errors in attached memory media, errors in PCIe/CXL traffic, errors in on-chip memory), and COSMOS software components running on-chip log/report these errors using standard protocol methods and specialized methods (e.g., out-of-band signaling or customer-specific logging formats).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many cases, on-chip hardware modules can correct for errors to prevent the application performance from being affected. Still, in other cases, COSMOS software running on a system BMC/SMC can be used to trigger error injection for the purposes of testing system-level error handling and reporting mechanisms or to measure link-level margin. </w:t>
      </w:r>
    </w:p>
    <w:p>
      <w:pPr>
        <w:pStyle w:val="TextBody"/>
        <w:bidi w:val="0"/>
        <w:spacing w:before="120" w:after="0"/>
        <w:jc w:val="both"/>
        <w:rPr>
          <w:rFonts w:ascii="Times New Roman" w:hAnsi="Times New Roman"/>
          <w:sz w:val="20"/>
        </w:rPr>
      </w:pPr>
      <w:r>
        <w:rPr>
          <w:rFonts w:ascii="Times New Roman" w:hAnsi="Times New Roman"/>
          <w:sz w:val="20"/>
        </w:rPr>
        <w:t xml:space="preserve">Specific capabilities enabled by our COSMOS software suite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Monitoring of temperature, voltage, current, and overall signal integrity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Tracking health metrics including signal to noise ratio, eye metrics, and adaptation parameters;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Threshold checks so the affected system can shut down if the temperature exceeds a set limit;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0"/>
        <w:gridCol w:w="8882"/>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Intelligent analytics allowing algorithms to predict failures before they happen;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Deep diagnostics during the qualification phase to accelerate triage and debug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2"/>
        <w:gridCol w:w="8881"/>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Thorough testing during the manufacturing phase to detect issues earlier and enable the deployment of purpose-built manufacturing test tools that help reduce testing time to increase manufacturing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Detailed monitoring and logging during the production phase to monitor the overall health of server fleets, which can be used to detect degrading cables and cables that are not fully connected, thereby increasing uptime for the data center;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Security features which can help prevent malicious attacks of unauthorized firmware loading, module diagnostics access, and configurations.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Ecosystem and Customers </w:t>
      </w:r>
    </w:p>
    <w:p>
      <w:pPr>
        <w:pStyle w:val="TextBody"/>
        <w:bidi w:val="0"/>
        <w:spacing w:before="120" w:after="0"/>
        <w:jc w:val="both"/>
        <w:rPr>
          <w:rFonts w:ascii="Times New Roman" w:hAnsi="Times New Roman"/>
          <w:sz w:val="20"/>
        </w:rPr>
      </w:pPr>
      <w:r>
        <w:rPr>
          <w:rFonts w:ascii="Times New Roman" w:hAnsi="Times New Roman"/>
          <w:sz w:val="20"/>
        </w:rPr>
        <w:t xml:space="preserve">Our customers include major hyperscalers, leading AI accelerator vendors (including GPU vendors), and system OEMs. We collaborate closely with our customers manufacturing and design partners, our ecosystem partners, and, importantly, directly with our customers. For instance, we have developed multiple reference and/or commercial designs with different processor vendors. </w:t>
      </w:r>
    </w:p>
    <w:p>
      <w:pPr>
        <w:pStyle w:val="TextBody"/>
        <w:bidi w:val="0"/>
        <w:spacing w:before="240" w:after="0"/>
        <w:jc w:val="both"/>
        <w:rPr>
          <w:rFonts w:ascii="Times New Roman" w:hAnsi="Times New Roman"/>
          <w:sz w:val="20"/>
        </w:rPr>
      </w:pPr>
      <w:r>
        <w:rPr>
          <w:rFonts w:ascii="Times New Roman" w:hAnsi="Times New Roman"/>
          <w:sz w:val="20"/>
        </w:rPr>
        <w:t xml:space="preserve">We engage with our customers and data center infrastructure suppliers through our Interop Lab, where industry participants work together to establish compatibility, and stress-test products early in their product development process and prior to large-scale deployments.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We enhance the value of our platform with our Interop Lab and by providing early interoperability reports with other data center infrastructure suppliers. </w:t>
      </w:r>
    </w:p>
    <w:p>
      <w:pPr>
        <w:pStyle w:val="TextBody"/>
        <w:bidi w:val="0"/>
        <w:spacing w:before="240" w:after="0"/>
        <w:jc w:val="both"/>
        <w:rPr>
          <w:rFonts w:ascii="Times New Roman" w:hAnsi="Times New Roman"/>
          <w:sz w:val="20"/>
        </w:rPr>
      </w:pPr>
      <w:r>
        <w:rPr>
          <w:rFonts w:ascii="Times New Roman" w:hAnsi="Times New Roman"/>
          <w:sz w:val="20"/>
        </w:rPr>
        <w:t xml:space="preserve">We sell our products directly to our customers and through distributors. Our distributors are primarily focused on fulfillment and logistical purposes, rather than selling, marketing, or providing technical support for our products. Our customers are closely involved in the design and often dictate the sourcing decisions for the systems that incorporate our products. They often engage third party contract manufacturers and design partners to manufacture their systems.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both"/>
        <w:rPr>
          <w:rFonts w:ascii="Times New Roman" w:hAnsi="Times New Roman"/>
          <w:sz w:val="20"/>
        </w:rPr>
      </w:pPr>
      <w:r>
        <w:rPr>
          <w:rFonts w:ascii="Times New Roman" w:hAnsi="Times New Roman"/>
          <w:sz w:val="20"/>
        </w:rPr>
        <w:t xml:space="preserve">Our sales and marketing strategy is to maintain a deep understanding of our customers needs and to design products that are specifically tailored to each customers unique requirements. Our deep market knowledge, successful execution track record, and customer trust allow us to identify opportunities for new product design wins as well as for our product roadmap. </w:t>
      </w:r>
    </w:p>
    <w:p>
      <w:pPr>
        <w:pStyle w:val="TextBody"/>
        <w:bidi w:val="0"/>
        <w:spacing w:before="240" w:after="0"/>
        <w:jc w:val="both"/>
        <w:rPr>
          <w:rFonts w:ascii="Times New Roman" w:hAnsi="Times New Roman"/>
          <w:sz w:val="20"/>
        </w:rPr>
      </w:pPr>
      <w:r>
        <w:rPr>
          <w:rFonts w:ascii="Times New Roman" w:hAnsi="Times New Roman"/>
          <w:sz w:val="20"/>
        </w:rPr>
        <w:t xml:space="preserve">We focus our sales and marketing efforts on hyperscalers, leading AI accelerator vendors, and system OEMs. The universe of available end customers in our industry is small and concentrated, and as a result, it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very important to our success that we maintain strong and collaborative relationships with the end customers in our industry. For example, in 2023, our top three end customers represented an aggregate of approximately  % of our revenue. Our arrangements with our customers are typically effected via purchase orders for specific products. These purchase orders dictate the material terms of the arrangement, such as purchase price, purchase quantity, delivery date, and delivery destination. </w:t>
      </w:r>
    </w:p>
    <w:p>
      <w:pPr>
        <w:pStyle w:val="TextBody"/>
        <w:bidi w:val="0"/>
        <w:spacing w:before="240" w:after="0"/>
        <w:jc w:val="both"/>
        <w:rPr>
          <w:rFonts w:ascii="Times New Roman" w:hAnsi="Times New Roman"/>
          <w:sz w:val="20"/>
        </w:rPr>
      </w:pPr>
      <w:r>
        <w:rPr>
          <w:rFonts w:ascii="Times New Roman" w:hAnsi="Times New Roman"/>
          <w:sz w:val="20"/>
        </w:rPr>
        <w:t xml:space="preserve">We primarily sell our products to distributors and our end customers manufacturing partners, whom are primarily located in North America and Asia. Once sold, our products are typically incorporated into hyperscaler, leading AI accelerator vendor, and OEM systems. These systems are deployed in data center infrastructure around the world. Because of the global deployment of our products, we maintain a field applications engineering (FAE) team, which provides customers with on-site technical resources as required. Our FAE teams are located near customer R&amp;D sites in North America, Asia, and Israel. Our field teams are internally supported by product applications engineers, marketing, and business development teams in North America, Asia, and Israel.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and Suppliers </w:t>
      </w:r>
    </w:p>
    <w:p>
      <w:pPr>
        <w:pStyle w:val="TextBody"/>
        <w:bidi w:val="0"/>
        <w:spacing w:before="120" w:after="0"/>
        <w:jc w:val="both"/>
        <w:rPr>
          <w:rFonts w:ascii="Times New Roman" w:hAnsi="Times New Roman"/>
          <w:sz w:val="20"/>
        </w:rPr>
      </w:pPr>
      <w:r>
        <w:rPr>
          <w:rFonts w:ascii="Times New Roman" w:hAnsi="Times New Roman"/>
          <w:sz w:val="20"/>
        </w:rPr>
        <w:t xml:space="preserve">We use third parties to manufacture our products which include ICs, boards, and modules. The manufacturing process is subject to extensive testing and verification. We use a fabless manufacturing model and partner with TSMC to fabricate all of our ICs. We use Advanced Semiconductor Engineering and Amkor Technologies to assemble, package, and test our ICs. We also rely on a small, limited number of other manufacturing partners for our modules, boards, and IC substrates. </w:t>
      </w:r>
    </w:p>
    <w:p>
      <w:pPr>
        <w:pStyle w:val="TextBody"/>
        <w:bidi w:val="0"/>
        <w:spacing w:before="240" w:after="0"/>
        <w:jc w:val="both"/>
        <w:rPr>
          <w:rFonts w:ascii="Times New Roman" w:hAnsi="Times New Roman"/>
          <w:sz w:val="20"/>
        </w:rPr>
      </w:pPr>
      <w:r>
        <w:rPr>
          <w:rFonts w:ascii="Times New Roman" w:hAnsi="Times New Roman"/>
          <w:sz w:val="20"/>
        </w:rPr>
        <w:t xml:space="preserve">We are committed to supplying the highest quality devices to meet the most stringent demands of the worlds largest hyperscalers. As a result, our supply chain is optimized for quality and for rapid high-volume increases in production. </w:t>
      </w:r>
    </w:p>
    <w:p>
      <w:pPr>
        <w:pStyle w:val="TextBody"/>
        <w:bidi w:val="0"/>
        <w:spacing w:before="240" w:after="0"/>
        <w:jc w:val="both"/>
        <w:rPr>
          <w:rFonts w:ascii="Times New Roman" w:hAnsi="Times New Roman"/>
          <w:sz w:val="20"/>
        </w:rPr>
      </w:pPr>
      <w:r>
        <w:rPr>
          <w:rFonts w:ascii="Times New Roman" w:hAnsi="Times New Roman"/>
          <w:sz w:val="20"/>
        </w:rPr>
        <w:t xml:space="preserve">It is important that our products meet and exceed the Joint Electron Device Engineering Council (JEDEC) specifications that define the methodology for reliability testing and qualification of electrical components. Our quality management includes high production test coverage and full product traceability. We have a dedicated quality team which allows us to continuously monitor our customers feedback and improve our product quality by incorporating that feedback into our designs. Our partners and suppliers are committed to complying with Registration, Evaluation, Authorization, and Restriction of Chemicals (REACH), Restriction of Hazardous Substances Directive (RoHS), and industry standards. We are focused on sourcing components and materials that lessen our environmental footprint.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cloud-based approach to research and development is a valuable competitive strength. We use the cloud to both design new products and improve upon existing products. By harnessing the scale of cloud computing, we accelerate the speed of our research and development efforts, which in turn allows us to get to market faster and more efficiently. We partner with Electronic Design Automation (EDA) tool providers to run physical design and development flows in the cloud. With this approach, we can quickly simulate thousands of regressions in parallel with the most up to date and high-performance servers. This enables us to significantly increase our design verification iterations, leading to high quality tapeouts and an overall expedited development schedule. </w:t>
      </w:r>
    </w:p>
    <w:p>
      <w:pPr>
        <w:pStyle w:val="TextBody"/>
        <w:bidi w:val="0"/>
        <w:spacing w:before="240" w:after="0"/>
        <w:jc w:val="both"/>
        <w:rPr>
          <w:rFonts w:ascii="Times New Roman" w:hAnsi="Times New Roman"/>
          <w:sz w:val="20"/>
        </w:rPr>
      </w:pPr>
      <w:r>
        <w:rPr>
          <w:rFonts w:ascii="Times New Roman" w:hAnsi="Times New Roman"/>
          <w:sz w:val="20"/>
        </w:rPr>
        <w:t xml:space="preserve">Our research and development efforts focus on connectivity infrastructure for high-performance data center applications. We have committed, and intend to continue to commit, significant financial and other resources to technology and product innovation and development. We invest heavily in a global team of highly skilled engineers, with dedicated research and development offices in United States, Canada, and Israel.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success depends in part on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rely on a combination of intellectual property rights, including patents, copyrights, trademarks, trade secrets, and contractual protections, to protect our core technology. </w:t>
      </w:r>
    </w:p>
    <w:p>
      <w:pPr>
        <w:pStyle w:val="TextBody"/>
        <w:bidi w:val="0"/>
        <w:spacing w:before="240" w:after="0"/>
        <w:jc w:val="both"/>
        <w:rPr>
          <w:rFonts w:ascii="Times New Roman" w:hAnsi="Times New Roman"/>
          <w:sz w:val="20"/>
        </w:rPr>
      </w:pPr>
      <w:r>
        <w:rPr>
          <w:rFonts w:ascii="Times New Roman" w:hAnsi="Times New Roman"/>
          <w:sz w:val="20"/>
        </w:rPr>
        <w:t xml:space="preserve">As of February 1, 2024, we owned eight issued patents and 24 pending patent applications in the United States. Our issued patents and pending patent applications generally relate to interconnect and memory control technology, and printed circuit board and package designs. These issued patents, and any patents granted from our pending patent applications, are expected to expire between 2039 and 2043, without taking potential patent term extensions or adjustments into account. We routinely review our development efforts to assess the existence and patentability of new inventions. </w:t>
      </w:r>
    </w:p>
    <w:p>
      <w:pPr>
        <w:pStyle w:val="TextBody"/>
        <w:bidi w:val="0"/>
        <w:spacing w:before="240" w:after="0"/>
        <w:jc w:val="both"/>
        <w:rPr>
          <w:rFonts w:ascii="Times New Roman" w:hAnsi="Times New Roman"/>
          <w:sz w:val="20"/>
        </w:rPr>
      </w:pPr>
      <w:r>
        <w:rPr>
          <w:rFonts w:ascii="Times New Roman" w:hAnsi="Times New Roman"/>
          <w:sz w:val="20"/>
        </w:rPr>
        <w:t>The term of individual patents depends upon the legal term for patents in the countries in which they are granted. In the United States, the patent term is generally 20 years from the earliest claimed filing date of a non-provisional patent application. In the United States, a patents term may, in certain cases, be lengthened by patent term adjustment, which compensates a patentee for administrative delays by the United States Patent and Trademark Office in examining and granting a patent. It may also be shortened if a patent is terminally disclaimed over a commonly owned patent or a patent naming a common inventor and having an earlier expiration date. Although we intend to protect our rights vigorously, there can be no assurance that such measures will be successful. See the section titled Risk FactorsOur failure to protect our intellectual property rights adequately could impair our ability to compete effectively or to defend ourselves from litigation, which could harm our business, financial condition, and results of operations.</w:t>
      </w:r>
    </w:p>
    <w:p>
      <w:pPr>
        <w:pStyle w:val="TextBody"/>
        <w:bidi w:val="0"/>
        <w:spacing w:before="240" w:after="0"/>
        <w:jc w:val="both"/>
        <w:rPr>
          <w:rFonts w:ascii="Times New Roman" w:hAnsi="Times New Roman"/>
          <w:sz w:val="20"/>
        </w:rPr>
      </w:pPr>
      <w:r>
        <w:rPr>
          <w:rFonts w:ascii="Times New Roman" w:hAnsi="Times New Roman"/>
          <w:sz w:val="20"/>
        </w:rPr>
        <w:t xml:space="preserve">Moreover, we rely, in part, on trade secrets to protect aspects of our business that are not amenable to, or that we do not consider appropriate for, patent protection. However, trade secrets can be difficult to protect. While we take commercially reasonable steps to protect and maintain our trade secrets, including by entering into confidentiality agreements with our employees, consultants, and contractors and by maintaining physical security of our premises and physical and electronic security of our information technology systems, such measures may not prove to be adequate and there may not be any available remedies. In addition, our trade secrets may otherwise become known or be independently discovered by competitors or others. </w:t>
      </w:r>
    </w:p>
    <w:p>
      <w:pPr>
        <w:pStyle w:val="TextBody"/>
        <w:bidi w:val="0"/>
        <w:spacing w:before="240" w:after="0"/>
        <w:jc w:val="both"/>
        <w:rPr>
          <w:rFonts w:ascii="Times New Roman" w:hAnsi="Times New Roman"/>
          <w:sz w:val="20"/>
        </w:rPr>
      </w:pPr>
      <w:r>
        <w:rPr>
          <w:rFonts w:ascii="Times New Roman" w:hAnsi="Times New Roman"/>
          <w:sz w:val="20"/>
        </w:rPr>
        <w:t xml:space="preserve">We also protect our brand through common law trademark protections and trademark registrations. As of November 1, 2023, we owned one trademark registration for the ASTERA LABS mark in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There are several barriers to entering the cloud and AI infrastructure connectivity market. Meeting the quality standards and production schedules of the worlds leading hyperscalers and data center infrastructure ecosystem technology providers requires a deep understanding of and integration with each of their individual cloud scale architecture requirements and objectives. </w:t>
      </w:r>
    </w:p>
    <w:p>
      <w:pPr>
        <w:pStyle w:val="TextBody"/>
        <w:bidi w:val="0"/>
        <w:spacing w:before="240" w:after="0"/>
        <w:jc w:val="both"/>
        <w:rPr>
          <w:rFonts w:ascii="Times New Roman" w:hAnsi="Times New Roman"/>
          <w:sz w:val="20"/>
        </w:rPr>
      </w:pPr>
      <w:r>
        <w:rPr>
          <w:rFonts w:ascii="Times New Roman" w:hAnsi="Times New Roman"/>
          <w:sz w:val="20"/>
        </w:rPr>
        <w:t xml:space="preserve">We offer a differentiated and holistic Intelligent Connectivity Platform purpose-built for cloud and AI infrastructure workloads. Our Aries product family primarily competes with products offered by Montage Technology and Parade Technologies, Ltd. Our Taurus product family primarily competes with products offered by Broadcom Inc., Credo Technology Group Holding Ltd., and Marvell Technology, Inc. Our Leo product family primarily competes with products offered by Marvell Technology, Inc., Microchip Technology Inc., Montage Technology, and Rambus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principal competitive factors in our market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Ability to provide a complete platform coupled with software and interoperability reports that ensure ease of integration and customer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Product performance in terms of high data throughput, low latency connectivity, robust signal integrity to overcome extended channel insertion loss, and scalable memory expansion;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Customization to support the specific requirements of each hyperscaler throughout the lifecycle of their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Interoperability with major host processors and endpoint devices to ensure seamless system operation;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Near-zero defect tolerance along with stringent qualification processes meeting industry standards and the specific customer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Server-grade RAS;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Sophisticated link telemetry features that enable signal monitoring at scale;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Ease of making software updates to products to ensure regular software suite enhancements;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Ability to deliver products at large volumes in a timely manner to the quality standards required by our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both"/>
        <w:rPr>
          <w:rFonts w:ascii="Times New Roman" w:hAnsi="Times New Roman"/>
          <w:sz w:val="20"/>
        </w:rPr>
      </w:pPr>
      <w:r>
        <w:rPr>
          <w:rFonts w:ascii="Times New Roman" w:hAnsi="Times New Roman"/>
          <w:sz w:val="20"/>
        </w:rPr>
        <w:t xml:space="preserve">As of February 1, 2024, we had a total of 267 employees located in five countries, 205 of our employees are located in the United States, 31 are located in Canada, 10 are located in China, seven are located in Israel, and 14 are located in Taiwan. All of our employees are full-time employees. In China, we use a contractor to source our employees, though we consider them to be full-time employees. We also supplement our workforce with additional contractors and consultants. </w:t>
      </w:r>
    </w:p>
    <w:p>
      <w:pPr>
        <w:pStyle w:val="TextBody"/>
        <w:bidi w:val="0"/>
        <w:spacing w:before="240" w:after="0"/>
        <w:jc w:val="both"/>
        <w:rPr>
          <w:rFonts w:ascii="Times New Roman" w:hAnsi="Times New Roman"/>
          <w:sz w:val="20"/>
        </w:rPr>
      </w:pPr>
      <w:r>
        <w:rPr>
          <w:rFonts w:ascii="Times New Roman" w:hAnsi="Times New Roman"/>
          <w:sz w:val="20"/>
        </w:rPr>
        <w:t xml:space="preserve">To our knowledge, none of our employees are represented by a labor union or covered by a collective bargaining agreement. We have not experienced any work stoppages, and we consider our relations with our employees to be good. Our human capital resource objectives include, as applicable, identifying, recruiting, retaining, incentivizing, and integrating our existing and new employees.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Our corporate headquarters is located in Santa Clara, California, where we currently lease approximately 51,320 square feet for office space, research and development, and testing, pursuant to a lease agreement that expires in April 2025. We also lease additional facilities in Canada for research and development, in China for local customer support and sales, in Israel for research and development and local customer support and sales, and in Taiwan for customer support and sales.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our facilities are suitable to meet our current needs. We intend to expand our facilities or add new facilities as we grow, and we believe that suitable additional or alternative space will be available on commercially reasonable terms as needed to accommodate any such growth.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laws and regulations of various jurisdictions and governmental agencies affecting our operations and the sale of our products in areas including, but not limited to: intellectual property; tax; import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export requirements; anti-corruption; economic and trade sanctions; national security and foreign investment; foreign exchange controls and cash repatriation restrictions; data privacy and security requirements (such as the CCPA); competition; advertising; employment; product regulations; environment, health and safety requirements; and consumer laws. To date, costs and accruals incurred to comply with these governmental regulations have not been material to our capital expenditures and results of operations. Although there is no assurance that existing or future governmental laws and regulations applicable to our operations and the sale of our products will not have a material adverse effect on our capital expenditures, results of operations, and competitive position, we do not currently anticipate material expenditures for government regulations. Nonetheless, we believe that global trade regulations could potentially have a material impact on our business. </w:t>
      </w:r>
    </w:p>
    <w:p>
      <w:pPr>
        <w:pStyle w:val="TextBody"/>
        <w:bidi w:val="0"/>
        <w:spacing w:before="240" w:after="0"/>
        <w:jc w:val="both"/>
        <w:rPr>
          <w:rFonts w:ascii="Times New Roman" w:hAnsi="Times New Roman"/>
          <w:sz w:val="20"/>
        </w:rPr>
      </w:pPr>
      <w:r>
        <w:rPr>
          <w:rFonts w:ascii="Times New Roman" w:hAnsi="Times New Roman"/>
          <w:sz w:val="20"/>
        </w:rPr>
        <w:t xml:space="preserve">As a global company, the import and export of our products and technology are subject to laws and regulations including international treaties, U.S. export controls and sanctions laws, customs regulations, and local trade rules around the world. The scope, nature, and severity of such controls varies widely across different countries and may change frequently over time. Such laws, rules, and regulations may delay the introduction of some of our products or impact our competitiveness through restricting our ability to do business in certain places or with certain entities and individuals. For example, the U.S. Department of Commerce continues to add Chinese firms to the Entity List. These export restrictions, which would require that we obtain licenses from the U.S. Department of Commerce to allow us to export products to such listed firms, will likely limit or prevent us from doing business with certain potential customers or potential suppliers. These restrictive governmental actions and any similar measures that may be imposed on U.S. companies by other governments, especially in light of ongoing trade tensions with China, could limit our ability to conduct business globally. </w:t>
      </w:r>
    </w:p>
    <w:p>
      <w:pPr>
        <w:pStyle w:val="TextBody"/>
        <w:bidi w:val="0"/>
        <w:spacing w:before="240" w:after="0"/>
        <w:jc w:val="both"/>
        <w:rPr>
          <w:rFonts w:ascii="Times New Roman" w:hAnsi="Times New Roman"/>
          <w:sz w:val="20"/>
        </w:rPr>
      </w:pPr>
      <w:r>
        <w:rPr>
          <w:rFonts w:ascii="Times New Roman" w:hAnsi="Times New Roman"/>
          <w:sz w:val="20"/>
        </w:rPr>
        <w:t xml:space="preserve">See the section titled Risk Factors for additional information regarding risks we face related to government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285484_11"/>
      <w:bookmarkEnd w:id="14"/>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provides information regarding our executive officers and directors as of the date of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31"/>
        <w:gridCol w:w="164"/>
        <w:gridCol w:w="60"/>
        <w:gridCol w:w="260"/>
        <w:gridCol w:w="60"/>
        <w:gridCol w:w="164"/>
        <w:gridCol w:w="5766"/>
      </w:tblGrid>
      <w:tr>
        <w:trPr/>
        <w:tc>
          <w:tcPr>
            <w:tcW w:w="373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5766" w:type="dxa"/>
            <w:tcBorders/>
            <w:vAlign w:val="center"/>
          </w:tcPr>
          <w:p>
            <w:pPr>
              <w:pStyle w:val="TableContents"/>
              <w:bidi w:val="0"/>
              <w:spacing w:before="0" w:after="283"/>
              <w:jc w:val="left"/>
              <w:rPr>
                <w:sz w:val="4"/>
                <w:szCs w:val="4"/>
              </w:rPr>
            </w:pPr>
            <w:r>
              <w:rPr>
                <w:sz w:val="4"/>
                <w:szCs w:val="4"/>
              </w:rPr>
            </w:r>
          </w:p>
        </w:tc>
      </w:tr>
      <w:tr>
        <w:trPr/>
        <w:tc>
          <w:tcPr>
            <w:tcW w:w="37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64" w:type="dxa"/>
            <w:tcBorders/>
            <w:vAlign w:val="bottom"/>
          </w:tcPr>
          <w:p>
            <w:pPr>
              <w:pStyle w:val="TableContents"/>
              <w:bidi w:val="0"/>
              <w:spacing w:before="0" w:after="283"/>
              <w:jc w:val="left"/>
              <w:rPr/>
            </w:pPr>
            <w:r>
              <w:rPr/>
              <w:t>  </w:t>
            </w:r>
          </w:p>
        </w:tc>
        <w:tc>
          <w:tcPr>
            <w:tcW w:w="320"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7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c>
          <w:tcPr>
            <w:tcW w:w="373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2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5766" w:type="dxa"/>
            <w:tcBorders/>
            <w:shd w:fill="CCEEFF" w:val="clear"/>
          </w:tcPr>
          <w:p>
            <w:pPr>
              <w:pStyle w:val="TableContents"/>
              <w:bidi w:val="0"/>
              <w:spacing w:before="0" w:after="283"/>
              <w:jc w:val="left"/>
              <w:rPr>
                <w:sz w:val="4"/>
                <w:szCs w:val="4"/>
              </w:rPr>
            </w:pPr>
            <w:r>
              <w:rPr>
                <w:sz w:val="4"/>
                <w:szCs w:val="4"/>
              </w:rPr>
            </w:r>
          </w:p>
        </w:tc>
      </w:tr>
      <w:tr>
        <w:trPr/>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Jitendra Mohan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50</w:t>
            </w:r>
          </w:p>
        </w:tc>
        <w:tc>
          <w:tcPr>
            <w:tcW w:w="60" w:type="dxa"/>
            <w:tcBorders/>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Co-Founder, Chief Executive Officer, and Director</w:t>
            </w:r>
          </w:p>
        </w:tc>
      </w:tr>
      <w:tr>
        <w:trPr/>
        <w:tc>
          <w:tcPr>
            <w:tcW w:w="3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Sanjay Gajendra</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0" w:type="dxa"/>
            <w:tcBorders/>
            <w:shd w:fill="CCEEFF" w:val="clear"/>
          </w:tcPr>
          <w:p>
            <w:pPr>
              <w:pStyle w:val="TableContents"/>
              <w:bidi w:val="0"/>
              <w:spacing w:before="0" w:after="283"/>
              <w:jc w:val="right"/>
              <w:rPr/>
            </w:pPr>
            <w:r>
              <w:rPr/>
              <w:t>49</w:t>
            </w:r>
          </w:p>
        </w:tc>
        <w:tc>
          <w:tcPr>
            <w:tcW w:w="60" w:type="dxa"/>
            <w:tcBorders/>
            <w:shd w:fill="CCEEFF" w:val="clear"/>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Co-Founder, President, Chief Operating Officer, and Director</w:t>
            </w:r>
          </w:p>
        </w:tc>
      </w:tr>
      <w:tr>
        <w:trPr/>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Michael Tate</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57</w:t>
            </w:r>
          </w:p>
        </w:tc>
        <w:tc>
          <w:tcPr>
            <w:tcW w:w="60" w:type="dxa"/>
            <w:tcBorders/>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3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 Mazzara</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0" w:type="dxa"/>
            <w:tcBorders/>
            <w:shd w:fill="CCEEFF" w:val="clear"/>
          </w:tcPr>
          <w:p>
            <w:pPr>
              <w:pStyle w:val="TableContents"/>
              <w:bidi w:val="0"/>
              <w:spacing w:before="0" w:after="283"/>
              <w:jc w:val="right"/>
              <w:rPr/>
            </w:pPr>
            <w:r>
              <w:rPr/>
              <w:t>45</w:t>
            </w:r>
          </w:p>
        </w:tc>
        <w:tc>
          <w:tcPr>
            <w:tcW w:w="60" w:type="dxa"/>
            <w:tcBorders/>
            <w:shd w:fill="CCEEFF" w:val="clear"/>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r>
      <w:tr>
        <w:trPr>
          <w:trHeight w:val="120" w:hRule="atLeast"/>
        </w:trPr>
        <w:tc>
          <w:tcPr>
            <w:tcW w:w="3731" w:type="dxa"/>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5930" w:type="dxa"/>
            <w:gridSpan w:val="2"/>
            <w:tcBorders/>
            <w:vAlign w:val="center"/>
          </w:tcPr>
          <w:p>
            <w:pPr>
              <w:pStyle w:val="TableContents"/>
              <w:bidi w:val="0"/>
              <w:spacing w:before="0" w:after="283"/>
              <w:jc w:val="left"/>
              <w:rPr>
                <w:sz w:val="4"/>
                <w:szCs w:val="4"/>
              </w:rPr>
            </w:pPr>
            <w:r>
              <w:rPr>
                <w:sz w:val="4"/>
                <w:szCs w:val="4"/>
              </w:rPr>
            </w:r>
          </w:p>
        </w:tc>
      </w:tr>
      <w:tr>
        <w:trPr/>
        <w:tc>
          <w:tcPr>
            <w:tcW w:w="3731" w:type="dxa"/>
            <w:tcBorders/>
          </w:tcPr>
          <w:p>
            <w:pPr>
              <w:pStyle w:val="TableContents"/>
              <w:bidi w:val="0"/>
              <w:spacing w:before="0" w:after="0"/>
              <w:jc w:val="left"/>
              <w:rPr>
                <w:rFonts w:ascii="Times New Roman" w:hAnsi="Times New Roman"/>
                <w:i/>
                <w:sz w:val="20"/>
              </w:rPr>
            </w:pPr>
            <w:r>
              <w:rPr>
                <w:rFonts w:ascii="Times New Roman" w:hAnsi="Times New Roman"/>
                <w:i/>
                <w:sz w:val="20"/>
              </w:rPr>
              <w:t>Non-Employee Directors: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5766" w:type="dxa"/>
            <w:tcBorders/>
          </w:tcPr>
          <w:p>
            <w:pPr>
              <w:pStyle w:val="TableContents"/>
              <w:bidi w:val="0"/>
              <w:spacing w:before="0" w:after="283"/>
              <w:jc w:val="left"/>
              <w:rPr>
                <w:sz w:val="4"/>
                <w:szCs w:val="4"/>
              </w:rPr>
            </w:pPr>
            <w:r>
              <w:rPr>
                <w:sz w:val="4"/>
                <w:szCs w:val="4"/>
              </w:rPr>
            </w:r>
          </w:p>
        </w:tc>
      </w:tr>
      <w:tr>
        <w:trPr/>
        <w:tc>
          <w:tcPr>
            <w:tcW w:w="3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Manuel Alba(1)</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0" w:type="dxa"/>
            <w:tcBorders/>
            <w:shd w:fill="CCEEFF" w:val="clear"/>
          </w:tcPr>
          <w:p>
            <w:pPr>
              <w:pStyle w:val="TableContents"/>
              <w:bidi w:val="0"/>
              <w:spacing w:before="0" w:after="283"/>
              <w:jc w:val="right"/>
              <w:rPr/>
            </w:pPr>
            <w:r>
              <w:rPr/>
              <w:t>68</w:t>
            </w:r>
          </w:p>
        </w:tc>
        <w:tc>
          <w:tcPr>
            <w:tcW w:w="60" w:type="dxa"/>
            <w:tcBorders/>
            <w:shd w:fill="CCEEFF" w:val="clear"/>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Chair</w:t>
            </w:r>
          </w:p>
        </w:tc>
      </w:tr>
      <w:tr>
        <w:trPr/>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Stefan Dyckerhoff(1)(2)(3)</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Hurlston(2)</w:t>
            </w:r>
          </w:p>
        </w:tc>
        <w:tc>
          <w:tcPr>
            <w:tcW w:w="164"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0" w:type="dxa"/>
            <w:tcBorders/>
            <w:shd w:fill="CCEEFF" w:val="clear"/>
          </w:tcPr>
          <w:p>
            <w:pPr>
              <w:pStyle w:val="TableContents"/>
              <w:bidi w:val="0"/>
              <w:spacing w:before="0" w:after="283"/>
              <w:jc w:val="right"/>
              <w:rPr/>
            </w:pPr>
            <w:r>
              <w:rPr/>
              <w:t>57</w:t>
            </w:r>
          </w:p>
        </w:tc>
        <w:tc>
          <w:tcPr>
            <w:tcW w:w="60" w:type="dxa"/>
            <w:tcBorders/>
            <w:shd w:fill="CCEEFF" w:val="clear"/>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Jack Lazar(1)(3)</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0" w:type="dxa"/>
            <w:tcBorders/>
          </w:tcPr>
          <w:p>
            <w:pPr>
              <w:pStyle w:val="TableContents"/>
              <w:bidi w:val="0"/>
              <w:spacing w:before="0" w:after="283"/>
              <w:jc w:val="right"/>
              <w:rPr/>
            </w:pPr>
            <w:r>
              <w:rPr/>
              <w:t>58</w:t>
            </w:r>
          </w:p>
        </w:tc>
        <w:tc>
          <w:tcPr>
            <w:tcW w:w="60" w:type="dxa"/>
            <w:tcBorders/>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766"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Member of the nominating and corporate governance committee.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executive officer serves at the discretion of our board of directors and holds office until his successor is duly elected and qualified or until his earlier resignation or removal. There are no family relationships among any of our directors or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both"/>
        <w:rPr>
          <w:rFonts w:ascii="Times New Roman" w:hAnsi="Times New Roman"/>
          <w:sz w:val="20"/>
        </w:rPr>
      </w:pPr>
      <w:r>
        <w:rPr>
          <w:rFonts w:ascii="Times New Roman" w:hAnsi="Times New Roman"/>
          <w:b/>
          <w:i/>
          <w:sz w:val="20"/>
        </w:rPr>
        <w:t>Jitendra Mohan</w:t>
      </w:r>
      <w:r>
        <w:rPr>
          <w:rFonts w:ascii="Times New Roman" w:hAnsi="Times New Roman"/>
          <w:sz w:val="20"/>
        </w:rPr>
        <w:t xml:space="preserve"> is a co-founder of Astera Labs, and has served as our Chief Executive Officer and as a member of our board of directors since November 2017, and served as our President from November 2017 to November 2023. Prior to founding Astera Labs, Mr. Mohan served as Product Line (General) Manager at Texas Instruments Inc. (Nasdaq:TXN), a semiconductor company, from March 2012 to October 2017, and at National Semiconductor Corporation (NYSE:NSM), a semiconductor company, from June 1996 to March 2012 in various technical roles, including most recently as a Design Director. Mr. Mohan holds a Bachelor of Technology degree in Electrical Engineering from Indian Institute of Technology, Bombay, and a Master of Science degree in Electrical Engineering from Stanford University. We believe that Mr. Mohan is qualified to serve as a member of our board of directors because of his knowledge of our company and our business, his experience building and leading our company and his perspective into corporate matters as our Chief Executive Officer. </w:t>
      </w:r>
    </w:p>
    <w:p>
      <w:pPr>
        <w:pStyle w:val="TextBody"/>
        <w:bidi w:val="0"/>
        <w:spacing w:before="240" w:after="0"/>
        <w:jc w:val="both"/>
        <w:rPr>
          <w:rFonts w:ascii="Times New Roman" w:hAnsi="Times New Roman"/>
          <w:sz w:val="20"/>
        </w:rPr>
      </w:pPr>
      <w:r>
        <w:rPr>
          <w:rFonts w:ascii="Times New Roman" w:hAnsi="Times New Roman"/>
          <w:b/>
          <w:i/>
          <w:sz w:val="20"/>
        </w:rPr>
        <w:t>Sanjay Gajendra</w:t>
      </w:r>
      <w:r>
        <w:rPr>
          <w:rFonts w:ascii="Times New Roman" w:hAnsi="Times New Roman"/>
          <w:sz w:val="20"/>
        </w:rPr>
        <w:t xml:space="preserve"> is a co-founder of Astera Labs, and has served as our Chief Operating Officer and as a member of our board of directors since November 2017, and as President since November 2023, and served as our Chief Financial Officer and Treasurer from November 2017 to July 2020. Prior to founding Astera Labs, Mr. Gajendra served as Product Line (General) Manager at Texas Instruments Inc. from July 2014 to October 2017 and a Director of Product Management from January 2012 to June 2014, a Product Manager at National Semiconductor Corporation from June 2006 to December 2011, a Principal Software Engineer from May 2000 to June 2006, and a Senior Software Engineer at Wipro Limited (NYSE:WIT), a consulting company, from September 1996 to February 2000. Mr. Gajendra holds a Master of Engineering degree in Engineering Management from University of Colorado Boulder. We believe that Mr. Gajendra is qualified to serve as a member of our board of directors because of his knowledge of our company and our business, his experience building and leading our company and his perspective into corporate matters as our Chief Operating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Michael Tate</w:t>
      </w:r>
      <w:r>
        <w:rPr>
          <w:rFonts w:ascii="Times New Roman" w:hAnsi="Times New Roman"/>
          <w:sz w:val="20"/>
        </w:rPr>
        <w:t xml:space="preserve"> has served as our Chief Financial Officer and Treasurer since July 2020. Prior to joining us, Mr. Tate served as an investor and advisor for early stage companies from January 2015 to July 2020. Prior to this time, Mr. Tate served as the Chief Financial Officer at Annapurna Labs, a microelectronics company, from June 2014 to January 2015, and Vice President of Finance and Chief Financial Officer of NetLogic MicroSystems, Inc. (Nasdaq:NETL), a semiconductor company, from July 2007 to February 2012. Additionally, Mr. Tate served in various roles at Marvell Technology Inc. (Nasdaq:MRVL), a semiconductor company, from January 2001 to July 2007, including most recently as Vice President and Interim Chief Financial Officer and in various roles at Galileo Technology, a semiconductor company, from June 1997 to January 2001, including most recently as Chief Financial Officer. Mr. Tate holds a Bachelor of Science degree in Accounting from California Polytechnic State University, San Luis Obispo. </w:t>
      </w:r>
    </w:p>
    <w:p>
      <w:pPr>
        <w:pStyle w:val="TextBody"/>
        <w:bidi w:val="0"/>
        <w:spacing w:before="240" w:after="0"/>
        <w:jc w:val="both"/>
        <w:rPr>
          <w:rFonts w:ascii="Times New Roman" w:hAnsi="Times New Roman"/>
          <w:sz w:val="20"/>
        </w:rPr>
      </w:pPr>
      <w:r>
        <w:rPr>
          <w:rFonts w:ascii="Times New Roman" w:hAnsi="Times New Roman"/>
          <w:b/>
          <w:i/>
          <w:sz w:val="20"/>
        </w:rPr>
        <w:t>Philip Mazzara</w:t>
      </w:r>
      <w:r>
        <w:rPr>
          <w:rFonts w:ascii="Times New Roman" w:hAnsi="Times New Roman"/>
          <w:sz w:val="20"/>
        </w:rPr>
        <w:t xml:space="preserve"> has served as our General Counsel and Secretary since September 2022, and previously as our Vice President of Legal from February 2022 to August 2022. Prior to joining Astera Labs, Mr. Mazzara served as Vice President, General Counsel, and Corporate Secretary for Innovium, Inc. from May 2018 to December 2021 and Director of Legal from August 2015 to May 2018. Mr. Mazzara holds a J.D./M.B.A. from Stanford Law School and the Stanford Graduate School of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Manuel Alba</w:t>
      </w:r>
      <w:r>
        <w:rPr>
          <w:rFonts w:ascii="Times New Roman" w:hAnsi="Times New Roman"/>
          <w:sz w:val="20"/>
        </w:rPr>
        <w:t xml:space="preserve"> has served as the Chair of the Board of Astera Labs since March of 2018. Mr. Alba currently serves as director of Copperleaf Technologies, a publicly traded Canadian company, where he has served since 2010. Additionally, he serves as director of Kardium (Canada) since 2008, Lightbits (Israel) since 2016, Xsight Labs (Israel) since 2017, and as interim Chairman of Lyte.ai (California) since January 2023. Previously, Mr. Alba was a co-founder, director and President of Galileo Technology (Israel, GALTF) from 1994 to 2001, director of Marvell (MRVL) from 2001 to 2004, director of Pixer (Israel) from 2005 to 2008, director of Annapurna Labs (Israel) from 2011 to 2015, director of Habana Labs (Israel) from 2016 to 2020, and director of Banias Labs (Israel) from 2020 to 2022. During his career, Mr. Alba has worked as a design engineer, technical marketing engineer, technology business executive, and active founding investor. Mr. Alba has also served as a board member of various non-profit organizations. Mr. Alba holds a Bachelor of Science degree in Electrical Engineering from the National Polytechnic Institute in Mexico City, Master of Science degrees in Computer Engineering and Engineering Management from the University of Southern California, and a Master of Business Administration from the University of Santa Clara. We believe Mr. Alba is qualified to serve as a member of our board of directors because of his experience as an executive and founder in our industry and his extensive knowledge of our company. </w:t>
      </w:r>
    </w:p>
    <w:p>
      <w:pPr>
        <w:pStyle w:val="TextBody"/>
        <w:bidi w:val="0"/>
        <w:spacing w:before="240" w:after="0"/>
        <w:jc w:val="both"/>
        <w:rPr>
          <w:rFonts w:ascii="Times New Roman" w:hAnsi="Times New Roman"/>
          <w:sz w:val="20"/>
        </w:rPr>
      </w:pPr>
      <w:r>
        <w:rPr>
          <w:rFonts w:ascii="Times New Roman" w:hAnsi="Times New Roman"/>
          <w:b/>
          <w:i/>
          <w:sz w:val="20"/>
        </w:rPr>
        <w:t xml:space="preserve">Stefan Dyckerhoff </w:t>
      </w:r>
      <w:r>
        <w:rPr>
          <w:rFonts w:ascii="Times New Roman" w:hAnsi="Times New Roman"/>
          <w:sz w:val="20"/>
        </w:rPr>
        <w:t xml:space="preserve">has served as a member of Astera Labs board of directors since November 2019. Mr. Dyckerhoff is currently a Managing Director of Sutter Hill Ventures, a venture capital firm, where he has served since October 2012. Prior to joining Sutter Hill Ventures, Mr. Dyckerhoff served in various roles at Juniper Networks (NYSE:JNPR), a software company, from October 2009 to December 2012, including most recently as the as the Executive Vice President and General Manager of the Platform Systems Division from March 2011 to December 2012. Additionally, from May 2004 to September 2009, Mr. Dyckerhoff served in various roles at Cisco Systems (Nasdaq:CSCO), a software company, including most recently as Vice President &amp; General Manager of the Edge Routing Business Unit from February 2007 to October 2009. Mr. Dyckerhoff has served as a member of the board of directors of Lacework, a computer and network security company, since January 2015, SiFive, a semiconductor company, since September 2015, Atmosic Technologies, a semiconductor company, since April 2017, and Enfabrica, a computer networking products company, since May 2020. Mr. Dyckerhoff holds a Bachelor of Science in Electrical Engineering and Computer Science from Duke University and a Master of Science in Electrical Engineering from Stanford University. We believe Mr. Dyckerhoff is qualified to serve as a member of our board of directors because of his experience as an investor and executive in our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 xml:space="preserve">Michael Hurlston </w:t>
      </w:r>
      <w:r>
        <w:rPr>
          <w:rFonts w:ascii="Times New Roman" w:hAnsi="Times New Roman"/>
          <w:sz w:val="20"/>
        </w:rPr>
        <w:t xml:space="preserve">has served as a member of Astera Labs board of directors since November 2022. Mr. Hurlston is currently the President, Chief Executive Officer, and Director of Synaptics, Inc. (Nasdaq:SYNA), a semiconductor company, where he has served since August 2019. Prior to joining Synaptics, Mr. Hurlston served as the Chief Executive Officer and a member of the Board of Directors of Finisar Corporation, a telecommunications company, from January 2018 to August 2019. Before joining Finisar, Mr. Hurlston served in various roles at Broadcom Limited (Nasdaq:AVGO), a semiconductor company, and its predecessor corporation, from November 2001 to October 2017, including Senior Vice President and General Manager of the Mobile Connectivity Products/Wireless Communications and Connectivity Division from February 2016 to October 2017 and from September 2009 to January 2013 and as Executive Vice President of Sales from January 2013 to February 2016. Additionally, Mr. Hurlston previously held senior marketing and engineering positions at Oren Semiconductor, Inc., Avasem, Integrated Circuit Systems, Inc., MicroPower Systems Inc., Exar Corporation, and IC Works Inc. from 1991 to 2001. Mr. Hurlston has served as a member of the board of directors of Flextronics International, Ltd. (Nasdaq:FLEX), a manufacturing company, since September 2020, and currently serves on the Board of Executive Trustees of the UC Davis Foundation and on the Deans Executive Committee for the College of Engineering and the Deans Advisory Counsel for the Graduate School of Management at the University of California, Davis. Mr. Hurlston holds Bachelor of Science and Master of Science degrees in Electrical Engineering and a Master of Business Administration from the University of California, Davis. We believe Mr. Hurlston is qualified to serve as a member of our board of directors because of his experience in our industry and extensive experience in senior leadership positions at technology companies. </w:t>
      </w:r>
    </w:p>
    <w:p>
      <w:pPr>
        <w:pStyle w:val="TextBody"/>
        <w:bidi w:val="0"/>
        <w:spacing w:before="240" w:after="0"/>
        <w:jc w:val="both"/>
        <w:rPr>
          <w:rFonts w:ascii="Times New Roman" w:hAnsi="Times New Roman"/>
          <w:sz w:val="20"/>
        </w:rPr>
      </w:pPr>
      <w:r>
        <w:rPr>
          <w:rFonts w:ascii="Times New Roman" w:hAnsi="Times New Roman"/>
          <w:b/>
          <w:i/>
          <w:sz w:val="20"/>
        </w:rPr>
        <w:t xml:space="preserve">Jack Lazar </w:t>
      </w:r>
      <w:r>
        <w:rPr>
          <w:rFonts w:ascii="Times New Roman" w:hAnsi="Times New Roman"/>
          <w:sz w:val="20"/>
        </w:rPr>
        <w:t xml:space="preserve">has served as a member of Astera Labs board of directors since December 2022. Since March 2016, Mr. Lazar has served as an independent business consultant. From January 2014 to March 2016, Mr. Lazar served as the Chief Financial Officer of GoPro, Inc. (Nasdaq:GPRO), a provider of wearable and mountable capture devices. From May 2011 to January 2013, Mr. Lazar served as Senior Vice President, Corporate Development at Qualcomm Incorporated (Nasdaq: QCOM) and General Manager of Qualcomm Atheros, Inc., a developer of communications semiconductor solutions. From September 2003 until it was acquired by Qualcomm Incorporated in May 2011, Mr. Lazar served in various positions at Atheros Communications, Inc. (Nasdaq: ATHR), a provider of communications semiconductor solutions, including most recently as Senior Vice President of Corporate Development, Chief Financial Officer, and Secretary. Mr. Lazar has served as a member of the board of directors of ThredUp Inc. (Nasdaq:TDUP), an online marketplace for secondhand clothing, since June 2017, Resideo Technologies, Inc. (NYSE:REZI), a provider of comfort and security solutions, since September 2018, Box, Inc. (NYSE:BOX), an enterprise cloud content and file sharing provider, since March 2020, GlobalFoundries, Inc. (Nasdaq:GFS), a semiconductor manufacturing company, since July 2021. Mr. Lazar has a Bachelor of Science in Commerce with an emphasis in Accounting from Santa Clara University. We believe Mr. Lazar is qualified to serve as a member of our board of directors because of his experience in our industry and his extensive experience as an executive and board member of publicly traded technology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have adopted a code of conduct that applies to all of our employees, officers and directors, including our Chief Executive Officer, Chief Financial Officer, and other executive and senior financial officers. The full text of our code of business conduct will be posted on the investor relations page on our website upon the completion of this offering. We intend to disclose any amendments to our code of conduct, or waivers of its requirements, on our website or in filings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business and affairs are managed under the direction of our board of directors. The number of directors will be fixed by our board of directors, subject to the terms of our amended and restated certificate of incorporation and second amended and restated bylaws that will become effective immediately prior to the completion of this offering. Our board of directors consists of six directors, four of whom will qualify as independent under Nasdaq listing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accordance with our amended and restated certificate of incorporation and our second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 directors will be Jitendra Mohan and Stefan Dyckerhoff, and their terms will expire at the first annual meeting of stockholders after the completion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 directors will be Sanjay Gajendra and Michael Hurlston, and their terms will expire at the second annual meeting of stockholders after the completion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Class III directors will be Manuel Alba and Jack Lazar, and their terms will expire at the third annual meeting of stockholders after the completion of this offering.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 </w:t>
      </w:r>
    </w:p>
    <w:p>
      <w:pPr>
        <w:pStyle w:val="TextBody"/>
        <w:bidi w:val="0"/>
        <w:spacing w:before="240" w:after="0"/>
        <w:jc w:val="both"/>
        <w:rPr>
          <w:rFonts w:ascii="Times New Roman" w:hAnsi="Times New Roman"/>
          <w:sz w:val="20"/>
        </w:rPr>
      </w:pPr>
      <w:r>
        <w:rPr>
          <w:rFonts w:ascii="Times New Roman" w:hAnsi="Times New Roman"/>
          <w:sz w:val="20"/>
        </w:rPr>
        <w:t xml:space="preserve">This classification of our board of directors may have the effect of delaying or preventing changes in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Based on information provided by each director concerning his or her background, employment, and affiliations, our board of directors has determined that each of Manuel Alba, Stefan Dyckerhoff, Michael Hurlston, and Jack Lazar does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and may establish other committees from time to time. The composition and responsibilities of each of the committees of our board of directors is described below. Members will serve on these committees until their resignation or until as otherwise determined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consists of Jack Lazar, Manuel Alba, and Stefan Dyckerhoff, with Mr. Lazar serving as chair. Subject to certain phase-in provisions applicable to newly public companies, Nasdaq and Rule 10A-3 of the Exchange Act require that the audit committee of a listed company be comprised solely of independent directors. Because we intend to list our securities on Nasdaq in connection with this offering, we will have 12 months from the date our securities are first listed on Nasdaq to comply with the audit committee independence requirements. Mr. Dyckerhoff, who is not an independent director for audit committee purposes, will serve on the audit committee until an independent director is appointed. The other members of our audit committee are independent. Each member of our audit committee meets the financial literacy requirements of the Nasdaq listing standards. In addition, our board of directors has determined that Mr. Lazar is an audit committee financial expert within the meaning of Item 407(d) of Regulation S-K under the Securities Act. Our audit committee will, among other things,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selecting a qualified firm to serve as the independent registered public accounting firm to audit our financial statements;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helping to ensure the independence and performance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registered public accounting firm, our interim and year-end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discussing with management our financial statements and our critical accounting policies and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quarterly earnings press releases and reviewing with management financial information and earnings guidance provided to analysis and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the adequacy of our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policies on risk assessment and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or, as required, pre-approving, all audit and all permissible non-audit services to be performed by the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performance and independence of our internal audit function.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Upon completion of this offering, our audit committee will operate under a written charter, to be effective prior to the completion of this offering, that satisfies the applicable rules of the SEC and the listing standards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consists of Michael Hurlston and Stefan Dyckerhoff, with Mr. Hurlston serving as chair. The composition of our compensation committee meets the requirements for independence under Nasdaq listing standards and SEC rules and regulations. Each member of the compensation committee is also a non-employee director, as defined in Rule 16b-3 promulgated under the Exchange Act. The purpose of our compensation committee is to discharge certain of the responsibilities of our board of directors relating to compensation of our executive officers and non-employee directors. Our compensation committee will, among other things,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our board of directors regarding, the compensation of our executive officers, including any long-term incentive components of our compensation programs, any employment agreements, severance arrangements, change in control agreements or provisions, and any special or supplemental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making recommendations to the board of directors regarding the compensation of non-employee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retention of compensation consultants or other advisers;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our equity-based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making recommendations to our board of directors regarding, incentive compensation and equity-based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administration of all incentive compensation and equity-based plans for our employees.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will operate under a written charter, to be effective prior to the completion of this offering, that satisfies the applicable rules of the SEC and the listing standards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consists of Stefan Dyckerhoff and Jack Lazar, with Mr. Dyckerhoff serving as chair. The composition of our nominating and corporate governance committee meets the requirements for independence under Nasdaq listing standards and SEC rules and regulations. Our nominating and corporate governance committee will, among other things, be responsible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evaluating, and making recommendations to our board of directors regarding, nominees for election to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performance of our board of directors, its committees,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developments in corporate governance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evaluating the adequacy of our corporate governance practices;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making recommendations to our board of directors regarding corporate governance guidelines and matters.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will operate under a written charter, to be effective prior to the completion of this offering, that satisfies the applicable listing requirements and rules of Nasdaq. </w:t>
      </w:r>
    </w:p>
    <w:p>
      <w:pPr>
        <w:pStyle w:val="TextBody"/>
        <w:bidi w:val="0"/>
        <w:spacing w:before="360" w:after="0"/>
        <w:jc w:val="left"/>
        <w:rPr>
          <w:rFonts w:ascii="Times New Roman" w:hAnsi="Times New Roman"/>
          <w:b/>
          <w:sz w:val="20"/>
        </w:rPr>
      </w:pPr>
      <w:r>
        <w:rPr>
          <w:rFonts w:ascii="Times New Roman" w:hAnsi="Times New Roman"/>
          <w:b/>
          <w:sz w:val="20"/>
        </w:rPr>
        <w:t xml:space="preserve">Role of Board of Directors in Risk Oversight Process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2023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did not pay any compensation, make any equity awards or non-equity awards to, or pay any other compensation to any of the non-employee members of our board of directors in the year ended December 31, 2023 (Fiscal Year 2023). Messrs. Mohan and Gajendra served as members of our board of directors, as well as serving as employees, and were not separately compensated for their services as members of the board of directors. The compensation paid to Mr. Mohan is reported in the Executive Compensation2023 Summary Compensation Table below. However, the compensation paid to Mr. Gajendra is not so reported as Mr. Gajendra is not a named executive officer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Messrs. Alba and Dyckerhoff did not hold any outstanding stock or option awards, Ms. Bjorlin held 20,000 RSUs, Mr. Hurlston held 100,000 RSUs and an option to purchase 40,000 shares of our common stock, and Mr. Lazar held 155,000 RSUs. Ms. Bjorlin resigned from our board of directors effective as of December 3, 2023, and upon such resignation, forfeited all of her RSUs which have not met the applicable time-based vesting condition in her applicable award documents.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offering, we intend to adopt the non-employee director compensation policy described below, which is designed to align compensation with our business objectives and the creation of stockholder value, while enabling us to attract, retain, incentivize and reward directors who contribute to our long-term success.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contemplated policy, our non-employee directors will be eligible to receive cash retainers (which will be prorated for partial years of service) and equity awards as set forth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354"/>
        <w:gridCol w:w="323"/>
        <w:gridCol w:w="154"/>
        <w:gridCol w:w="759"/>
        <w:gridCol w:w="63"/>
      </w:tblGrid>
      <w:tr>
        <w:trPr/>
        <w:tc>
          <w:tcPr>
            <w:tcW w:w="6354"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54"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w:t>
              <w:br/>
              <w:t>Retainer</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Board of Directors:</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54" w:type="dxa"/>
            <w:tcBorders/>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60,000</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retainer for non-executive chair</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70,000</w:t>
            </w:r>
          </w:p>
        </w:tc>
        <w:tc>
          <w:tcPr>
            <w:tcW w:w="63" w:type="dxa"/>
            <w:tcBorders/>
            <w:shd w:fill="CCEEFF" w:val="clear"/>
            <w:vAlign w:val="bottom"/>
          </w:tcPr>
          <w:p>
            <w:pPr>
              <w:pStyle w:val="TableContents"/>
              <w:bidi w:val="0"/>
              <w:spacing w:before="0" w:after="283"/>
              <w:jc w:val="left"/>
              <w:rPr/>
            </w:pPr>
            <w:r>
              <w:rPr/>
              <w:t> </w:t>
            </w:r>
          </w:p>
        </w:tc>
      </w:tr>
      <w:tr>
        <w:trPr>
          <w:trHeight w:val="240" w:hRule="atLeast"/>
        </w:trPr>
        <w:tc>
          <w:tcPr>
            <w:tcW w:w="6354" w:type="dxa"/>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6354" w:type="dxa"/>
            <w:tcBorders/>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12,500</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rHeight w:val="240" w:hRule="atLeast"/>
        </w:trPr>
        <w:tc>
          <w:tcPr>
            <w:tcW w:w="6354" w:type="dxa"/>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63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54" w:type="dxa"/>
            <w:tcBorders/>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r>
        <w:trPr/>
        <w:tc>
          <w:tcPr>
            <w:tcW w:w="6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20,000</w:t>
            </w:r>
          </w:p>
        </w:tc>
        <w:tc>
          <w:tcPr>
            <w:tcW w:w="63" w:type="dxa"/>
            <w:tcBorders/>
            <w:shd w:fill="CCEEFF" w:val="clear"/>
            <w:vAlign w:val="bottom"/>
          </w:tcPr>
          <w:p>
            <w:pPr>
              <w:pStyle w:val="TableContents"/>
              <w:bidi w:val="0"/>
              <w:spacing w:before="0" w:after="283"/>
              <w:jc w:val="left"/>
              <w:rPr/>
            </w:pPr>
            <w:r>
              <w:rPr/>
              <w:t> </w:t>
            </w:r>
          </w:p>
        </w:tc>
      </w:tr>
      <w:tr>
        <w:trPr>
          <w:trHeight w:val="240" w:hRule="atLeast"/>
        </w:trPr>
        <w:tc>
          <w:tcPr>
            <w:tcW w:w="6354" w:type="dxa"/>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6354" w:type="dxa"/>
            <w:tcBorders/>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(other than chair)</w:t>
            </w:r>
          </w:p>
        </w:tc>
        <w:tc>
          <w:tcPr>
            <w:tcW w:w="3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5,000</w:t>
            </w:r>
          </w:p>
        </w:tc>
        <w:tc>
          <w:tcPr>
            <w:tcW w:w="63" w:type="dxa"/>
            <w:tcBorders/>
            <w:shd w:fill="CCEEFF" w:val="clear"/>
            <w:vAlign w:val="bottom"/>
          </w:tcPr>
          <w:p>
            <w:pPr>
              <w:pStyle w:val="TableContents"/>
              <w:bidi w:val="0"/>
              <w:spacing w:before="0" w:after="283"/>
              <w:jc w:val="left"/>
              <w:rPr/>
            </w:pPr>
            <w:r>
              <w:rPr/>
              <w:t> </w:t>
            </w:r>
          </w:p>
        </w:tc>
      </w:tr>
      <w:tr>
        <w:trPr/>
        <w:tc>
          <w:tcPr>
            <w:tcW w:w="6354" w:type="dxa"/>
            <w:tcBorders/>
          </w:tcPr>
          <w:p>
            <w:pPr>
              <w:pStyle w:val="TableContents"/>
              <w:bidi w:val="0"/>
              <w:spacing w:before="0" w:after="0"/>
              <w:jc w:val="left"/>
              <w:rPr>
                <w:rFonts w:ascii="Times New Roman" w:hAnsi="Times New Roman"/>
                <w:sz w:val="20"/>
              </w:rPr>
            </w:pPr>
            <w:r>
              <w:rPr>
                <w:rFonts w:ascii="Times New Roman" w:hAnsi="Times New Roman"/>
                <w:sz w:val="20"/>
              </w:rPr>
              <w:t>Retainer for chair</w:t>
            </w:r>
          </w:p>
        </w:tc>
        <w:tc>
          <w:tcPr>
            <w:tcW w:w="3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non-employee director compensation policy will provide that, upon initial election to our board of directors, each non-employee director will be granted a restricted stock unit award with a fair market value of $330,000 (Initial Grant). The Initial Grant will vest in equal installments on the first, second, and third anniversaries of the grant date, subject to continued service with the Company through the applicable vesting date. Furthermore, on the date of each annual meeting of stockholders following the completion of this offering, each non-employee director who continues as a non-employee director following such meeting will be granted an annual restricted stock unit award with a fair market value of $200,000 (Annual Grant). The Annual Grant will vest in full on the earlier of (i) the first anniversary of the grant date or (ii) our next annual meeting of stockholders, subject to continued service with the Company through the applicable vesting date. Such awards are subject to full accelerated vesting upon a change in control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The aggregate amount of compensation, including both equity compensation and cash compensation, paid to any non-employee director in a calendar year period will not exceed $1,000,000 in the first calendar year such individual becomes a non-employee director and $750,000 in any other calendar year. </w:t>
      </w:r>
    </w:p>
    <w:p>
      <w:pPr>
        <w:pStyle w:val="TextBody"/>
        <w:bidi w:val="0"/>
        <w:spacing w:before="240" w:after="0"/>
        <w:jc w:val="both"/>
        <w:rPr>
          <w:rFonts w:ascii="Times New Roman" w:hAnsi="Times New Roman"/>
          <w:sz w:val="20"/>
        </w:rPr>
      </w:pPr>
      <w:r>
        <w:rPr>
          <w:rFonts w:ascii="Times New Roman" w:hAnsi="Times New Roman"/>
          <w:sz w:val="20"/>
        </w:rPr>
        <w:t xml:space="preserve">We will reimburse all reasonable out-of-pocket expenses incurred by directors for their attendance at meetings of the board of directors or any committee thereof. </w:t>
      </w:r>
    </w:p>
    <w:p>
      <w:pPr>
        <w:pStyle w:val="TextBody"/>
        <w:bidi w:val="0"/>
        <w:spacing w:before="240" w:after="0"/>
        <w:jc w:val="both"/>
        <w:rPr>
          <w:rFonts w:ascii="Times New Roman" w:hAnsi="Times New Roman"/>
          <w:sz w:val="20"/>
        </w:rPr>
      </w:pPr>
      <w:r>
        <w:rPr>
          <w:rFonts w:ascii="Times New Roman" w:hAnsi="Times New Roman"/>
          <w:sz w:val="20"/>
        </w:rPr>
        <w:t xml:space="preserve">Employee directors will receive no additional compensation for their service as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Sales Plans </w:t>
      </w:r>
    </w:p>
    <w:p>
      <w:pPr>
        <w:pStyle w:val="TextBody"/>
        <w:bidi w:val="0"/>
        <w:spacing w:before="120" w:after="0"/>
        <w:jc w:val="both"/>
        <w:rPr>
          <w:rFonts w:ascii="Times New Roman" w:hAnsi="Times New Roman"/>
          <w:sz w:val="20"/>
        </w:rPr>
      </w:pPr>
      <w:r>
        <w:rPr>
          <w:rFonts w:ascii="Times New Roman" w:hAnsi="Times New Roman"/>
          <w:sz w:val="20"/>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the earlier of (i) the second trading day after the date that we publicly announce earnings for the second quarter following the most recent period for which financial statements are included in this prospectus, and (ii) 180 days after the date of this prospectus, subject to early termination, the sale of any shares under a Rule 10b5-1 plan would be subject to the lock-up agreement that the director or executive officer has entered into with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285484_12"/>
      <w:bookmarkEnd w:id="15"/>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discussion contains forward 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240" w:after="0"/>
        <w:jc w:val="both"/>
        <w:rPr>
          <w:rFonts w:ascii="Times New Roman" w:hAnsi="Times New Roman"/>
          <w:sz w:val="20"/>
        </w:rPr>
      </w:pPr>
      <w:r>
        <w:rPr>
          <w:rFonts w:ascii="Times New Roman" w:hAnsi="Times New Roman"/>
          <w:sz w:val="20"/>
        </w:rPr>
        <w:t xml:space="preserve">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2023 is detailed in the 2023 Summary Compensation Table and accompanying footnotes and narrative that follow. Our named executive officers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Jitendra Mohan, our Co-Founder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Philip Mazzara, our General Counsel and Secretary;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Michael Tate, our Chief Financial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date, the compensation of our named executive officers has consisted of a combination of base salary, cash incentive compensation, and long-term incentive compensation, as more fully described below. Our named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w:t>
      </w:r>
    </w:p>
    <w:p>
      <w:pPr>
        <w:pStyle w:val="TextBody"/>
        <w:bidi w:val="0"/>
        <w:spacing w:before="360" w:after="0"/>
        <w:jc w:val="left"/>
        <w:rPr>
          <w:rFonts w:ascii="Times New Roman" w:hAnsi="Times New Roman"/>
          <w:b/>
          <w:sz w:val="20"/>
        </w:rPr>
      </w:pPr>
      <w:r>
        <w:rPr>
          <w:rFonts w:ascii="Times New Roman" w:hAnsi="Times New Roman"/>
          <w:b/>
          <w:sz w:val="20"/>
        </w:rPr>
        <w:t xml:space="preserve">2023 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information regarding the total compensation awarded to, earned by, and paid to our named executive officers for services rendered to us in all capacities in Fiscal Year 2023 and in the year ended December 31, 2022 (Fiscal Year 2022),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18"/>
        <w:gridCol w:w="121"/>
        <w:gridCol w:w="60"/>
        <w:gridCol w:w="500"/>
        <w:gridCol w:w="60"/>
        <w:gridCol w:w="121"/>
        <w:gridCol w:w="60"/>
        <w:gridCol w:w="800"/>
        <w:gridCol w:w="60"/>
        <w:gridCol w:w="121"/>
        <w:gridCol w:w="60"/>
        <w:gridCol w:w="800"/>
        <w:gridCol w:w="60"/>
        <w:gridCol w:w="121"/>
        <w:gridCol w:w="60"/>
        <w:gridCol w:w="800"/>
        <w:gridCol w:w="60"/>
        <w:gridCol w:w="121"/>
        <w:gridCol w:w="60"/>
        <w:gridCol w:w="980"/>
        <w:gridCol w:w="60"/>
        <w:gridCol w:w="121"/>
        <w:gridCol w:w="119"/>
        <w:gridCol w:w="1373"/>
        <w:gridCol w:w="60"/>
        <w:gridCol w:w="121"/>
        <w:gridCol w:w="60"/>
        <w:gridCol w:w="980"/>
        <w:gridCol w:w="68"/>
      </w:tblGrid>
      <w:tr>
        <w:trPr/>
        <w:tc>
          <w:tcPr>
            <w:tcW w:w="22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2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1"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4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w:t>
            </w:r>
          </w:p>
        </w:tc>
        <w:tc>
          <w:tcPr>
            <w:tcW w:w="68"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Jitendra Mohan,</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309,167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170,500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12,459</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492,126</w:t>
            </w:r>
          </w:p>
        </w:tc>
        <w:tc>
          <w:tcPr>
            <w:tcW w:w="68"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120,000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12,103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432,103</w:t>
            </w:r>
          </w:p>
        </w:tc>
        <w:tc>
          <w:tcPr>
            <w:tcW w:w="68"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 Mazzara,</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309,167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170,500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699,834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11,925</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1,191,426</w:t>
            </w:r>
          </w:p>
        </w:tc>
        <w:tc>
          <w:tcPr>
            <w:tcW w:w="68"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20"/>
              </w:rPr>
            </w:pPr>
            <w:r>
              <w:rPr>
                <w:rFonts w:ascii="Times New Roman" w:hAnsi="Times New Roman"/>
                <w:i/>
                <w:sz w:val="20"/>
              </w:rPr>
              <w:t>General Counsel and Secretary</w:t>
            </w:r>
            <w:r>
              <w:rPr>
                <w:rFonts w:ascii="Times New Roman" w:hAnsi="Times New Roman"/>
                <w:b/>
                <w:sz w:val="20"/>
              </w:rPr>
              <w:t>(6)</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268,182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110,250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363,612</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2,301,303</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10,585</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3,053,932</w:t>
            </w:r>
          </w:p>
        </w:tc>
        <w:tc>
          <w:tcPr>
            <w:tcW w:w="68"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Tate,</w:t>
            </w:r>
          </w:p>
          <w:p>
            <w:pPr>
              <w:pStyle w:val="TableContents"/>
              <w:bidi w:val="0"/>
              <w:spacing w:before="0" w:after="20"/>
              <w:jc w:val="left"/>
              <w:rPr>
                <w:rFonts w:ascii="Times New Roman" w:hAnsi="Times New Roman"/>
                <w:i/>
                <w:sz w:val="20"/>
              </w:rPr>
            </w:pPr>
            <w:r>
              <w:rPr>
                <w:rFonts w:ascii="Times New Roman" w:hAnsi="Times New Roman"/>
                <w:i/>
                <w:sz w:val="20"/>
              </w:rPr>
              <w:t>Chief Financial Officer</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309,167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170,500</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971,991</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1,451,658</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reflect annual base salaries paid to our named executive officers for Fiscal Years 2023 and 2022.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reflect discretionary annual bonuses paid to our named executive officers based on our board of directors assessment of overall company performance and individual performance for Fiscal Years 2023 and 2022.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represent the aggregate grant date fair value of the restricted stock units granted to our named executive officer during Fiscal Years 2023 and 2022, calculated in accordance with FASB, ASC Topic 718. Such grant date fair value does not take into account any estimated forfeitures. The assumptions used in calculating the grant date fair value of the restricted stock units reported in this column are set forth in Note 1 and Note 9 of our consolidated financial statements appearing elsewhere in this prospectus. The amount reported in this column reflects the accounting cost for the award and does not correspond to the actual economic value that may be received by our named executive officers upon vesting and settlement of the shares of restricted stock units or any sale of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reported represent the aggregate grant date fair value of the options to purchase shares of common stock awarded to our named executive officers during Fiscal Year 2022, calculated in accordance with FASB ASC Topic 718. Such grant date fair value does not take into account any estimated forfeitures. The assumptions used in calculating the grant date fair value of the options reported in this column are set forth in Note 1 and Note 9 of our consolidated financial statements included elsewhere in this prospectus. The amount reported in this column reflects the accounting cost for the option and does not correspond to the actual economic value that may be received by our named executive officers upon the exercise of the options or any sale of the underlying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Fiscal Years 2023 and 2022, the amount reported represents 401(k) matching contributions in the amounts of $12,459 and $12,103, respectively, made by us to Mr. Mohan and 401(k) matching contributions in the amounts of $11,925 and $10,585, respectively, made by us to Mr. Mazzara.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Mazzara joined us in February 2022. Mr. Mazzaras base salary and annual bonus are prorated to reflect his commencement of employment with us in February 2022.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Disclosure to the 2023 Summary Compensation Table </w:t>
      </w:r>
    </w:p>
    <w:p>
      <w:pPr>
        <w:pStyle w:val="TextBody"/>
        <w:bidi w:val="0"/>
        <w:spacing w:before="240" w:after="0"/>
        <w:jc w:val="left"/>
        <w:rPr>
          <w:rFonts w:ascii="Times New Roman" w:hAnsi="Times New Roman"/>
          <w:b/>
          <w:i/>
          <w:sz w:val="20"/>
        </w:rPr>
      </w:pPr>
      <w:r>
        <w:rPr>
          <w:rFonts w:ascii="Times New Roman" w:hAnsi="Times New Roman"/>
          <w:b/>
          <w:i/>
          <w:sz w:val="20"/>
        </w:rPr>
        <w:t xml:space="preserve">Base Salaries </w:t>
      </w:r>
    </w:p>
    <w:p>
      <w:pPr>
        <w:pStyle w:val="TextBody"/>
        <w:bidi w:val="0"/>
        <w:spacing w:before="120" w:after="0"/>
        <w:jc w:val="both"/>
        <w:rPr>
          <w:rFonts w:ascii="Times New Roman" w:hAnsi="Times New Roman"/>
          <w:sz w:val="20"/>
        </w:rPr>
      </w:pPr>
      <w:r>
        <w:rPr>
          <w:rFonts w:ascii="Times New Roman" w:hAnsi="Times New Roman"/>
          <w:sz w:val="20"/>
        </w:rPr>
        <w:t xml:space="preserve">Each of the named executive officers is paid a base salary commensurate with his skill set, experience, performance, role, and responsibilities. As of the beginning of Fiscal Year 2023, the annual base salary for each of Messrs. Mohan, Mazzara, and Tate was $300,000. We increased the annual base salary for each of Messrs. Mohan, Mazzara, and Tate to $310,000, effective February 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 </w:t>
      </w:r>
    </w:p>
    <w:p>
      <w:pPr>
        <w:pStyle w:val="TextBody"/>
        <w:bidi w:val="0"/>
        <w:spacing w:before="120" w:after="0"/>
        <w:jc w:val="both"/>
        <w:rPr>
          <w:rFonts w:ascii="Times New Roman" w:hAnsi="Times New Roman"/>
          <w:sz w:val="20"/>
        </w:rPr>
      </w:pPr>
      <w:r>
        <w:rPr>
          <w:rFonts w:ascii="Times New Roman" w:hAnsi="Times New Roman"/>
          <w:sz w:val="20"/>
        </w:rPr>
        <w:t xml:space="preserve">For Fiscal Year 2023, each of our named executive officers was eligible to earn a discretionary annual bonus based on our board of directors assessment of overall company performance and individual performance. The target annual bonus in Fiscal Year 2023 for each of Messrs. Mohan, Mazzara, and Tate was $155,000, and the annual bonus amount actually earned for Fiscal Year 2023 is set forth in the Bonus column of the Summary Compensation 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Compensation </w:t>
      </w:r>
    </w:p>
    <w:p>
      <w:pPr>
        <w:pStyle w:val="TextBody"/>
        <w:bidi w:val="0"/>
        <w:spacing w:before="120" w:after="0"/>
        <w:jc w:val="both"/>
        <w:rPr>
          <w:rFonts w:ascii="Times New Roman" w:hAnsi="Times New Roman"/>
          <w:sz w:val="20"/>
        </w:rPr>
      </w:pPr>
      <w:r>
        <w:rPr>
          <w:rFonts w:ascii="Times New Roman" w:hAnsi="Times New Roman"/>
          <w:sz w:val="20"/>
        </w:rPr>
        <w:t xml:space="preserve">Although we do not have a formal policy with respect to the grant of equity awards to our executive officers, we believe that equity awards can provide our executives with a link to our long-term performance, create an ownership culture and help to align the interests of our executives and our stockholders. During Fiscal Year 2023, we granted Messrs. Mazzara and Tate 44,248 and 61,455 restricted stock units, respectively, which generally vest over a period of four years, subject to Messrs. Mazzaras and Tates continued service with us on each applicable vesting date. For additional description of the awards granted to our named executive officers, please see Outstanding Equity Awards at 2023 Fiscal Year-End below. </w:t>
      </w:r>
    </w:p>
    <w:p>
      <w:pPr>
        <w:pStyle w:val="TextBody"/>
        <w:bidi w:val="0"/>
        <w:spacing w:before="240" w:after="0"/>
        <w:jc w:val="both"/>
        <w:rPr>
          <w:rFonts w:ascii="Times New Roman" w:hAnsi="Times New Roman"/>
          <w:sz w:val="20"/>
        </w:rPr>
      </w:pPr>
      <w:r>
        <w:rPr>
          <w:rFonts w:ascii="Times New Roman" w:hAnsi="Times New Roman"/>
          <w:sz w:val="20"/>
        </w:rPr>
        <w:t xml:space="preserve">Additionally, in January and February 2024, we granted awards of RSUs covering shares of our common stock under the 2018 Plan to Messrs. Mohan, Mazzara, and Tate in the amount of 2,704,335, 37,500 and 87,500 RSUs, respectively, which generally vest over a period of four years, or, in the case of a portion of Mr. Tates grant, at the end of one year, subject to their respective continued service with us on each applicable vesting date (beginning on February 15,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 Letters and Employment Agreements with Our Named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entered into offer letters with Messrs. Mohan and Mazzara and an employment agreement with Mr. Tate the material terms of which are summarized below. All our named executive officers are subject to our standard confidential information and invention assignment agreement. In connection with this offering, we may enter into revised employment agreements with our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Jitendra Mohan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offer letter with Mr. Mohan, dated March 13, 2018. Mr. Mohans offer letter provides for at-will employment, an initial annual base salary of $160,000, a restricted stock grant for 9,500,000 shares of our common stock, and eligibility to participate in any benefit plans generally made available to employees. </w:t>
      </w:r>
    </w:p>
    <w:p>
      <w:pPr>
        <w:pStyle w:val="TextBody"/>
        <w:bidi w:val="0"/>
        <w:spacing w:before="360" w:after="0"/>
        <w:jc w:val="left"/>
        <w:rPr>
          <w:rFonts w:ascii="Times New Roman" w:hAnsi="Times New Roman"/>
          <w:i/>
          <w:sz w:val="20"/>
        </w:rPr>
      </w:pPr>
      <w:r>
        <w:rPr>
          <w:rFonts w:ascii="Times New Roman" w:hAnsi="Times New Roman"/>
          <w:i/>
          <w:sz w:val="20"/>
        </w:rPr>
        <w:t xml:space="preserve">Philip Mazzara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offer letter with Mr. Mazzara, dated February 7, 2022, providing for at-will employment. Mr. Mazzaras offer letter provides him with (i) an annual base salary of $300,000, (ii) eligibility for an annual performance-based target bonus of $150,000, (iii) an option to purchase 250,000 shares of our common stock, subject to a four-year vesting schedule (iv) eligibility to participate in any benefit plans generally made available to employees, and (v) reimbursement of reasonable business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Michael Tate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employment agreement with Mr. Tate, dated July 21, 2020, providing for at-will employment. Mr. Tates employment agreement provides him with (i) an annual base salary of $49,920, (ii) an option to purchase 975,000 shares of our common stock, (iii) eligibility to participate in any benefit plans generally made available to employees, and (iv) reimbursement of reasonable business expenses. In addition, Mr. Tate is subject to our standard confidentiality and non-solicitation covenants.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2023 Fiscal Year-End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concerning outstanding equity awards held by each named executive officer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4"/>
        <w:gridCol w:w="120"/>
        <w:gridCol w:w="60"/>
        <w:gridCol w:w="895"/>
        <w:gridCol w:w="620"/>
        <w:gridCol w:w="379"/>
        <w:gridCol w:w="61"/>
        <w:gridCol w:w="895"/>
        <w:gridCol w:w="60"/>
        <w:gridCol w:w="303"/>
        <w:gridCol w:w="59"/>
        <w:gridCol w:w="1152"/>
        <w:gridCol w:w="67"/>
      </w:tblGrid>
      <w:tr>
        <w:trPr/>
        <w:tc>
          <w:tcPr>
            <w:tcW w:w="55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534"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sz w:val="16"/>
              </w:rPr>
            </w:pPr>
            <w:r>
              <w:rPr>
                <w:b/>
                <w:sz w:val="16"/>
              </w:rPr>
              <w:t>Stock Awards</w:t>
            </w:r>
          </w:p>
        </w:tc>
        <w:tc>
          <w:tcPr>
            <w:tcW w:w="67" w:type="dxa"/>
            <w:tcBorders/>
            <w:vAlign w:val="bottom"/>
          </w:tcPr>
          <w:p>
            <w:pPr>
              <w:pStyle w:val="TableContents"/>
              <w:bidi w:val="0"/>
              <w:spacing w:before="0" w:after="283"/>
              <w:jc w:val="left"/>
              <w:rPr/>
            </w:pPr>
            <w:r>
              <w:rPr/>
              <w:t> </w:t>
            </w:r>
          </w:p>
        </w:tc>
      </w:tr>
      <w:tr>
        <w:trPr/>
        <w:tc>
          <w:tcPr>
            <w:tcW w:w="55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2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or Units</w:t>
              <w:br/>
              <w:t>of Stock</w:t>
              <w:br/>
              <w:t>That</w:t>
              <w:br/>
              <w:t>Have Not</w:t>
              <w:br/>
              <w:t>Vested</w:t>
              <w:br/>
              <w:t>(#)</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w:t>
              <w:br/>
              <w:t>($)(1)</w:t>
            </w:r>
          </w:p>
        </w:tc>
        <w:tc>
          <w:tcPr>
            <w:tcW w:w="67" w:type="dxa"/>
            <w:tcBorders/>
            <w:vAlign w:val="bottom"/>
          </w:tcPr>
          <w:p>
            <w:pPr>
              <w:pStyle w:val="TableContents"/>
              <w:bidi w:val="0"/>
              <w:spacing w:before="0" w:after="283"/>
              <w:jc w:val="left"/>
              <w:rPr/>
            </w:pPr>
            <w:r>
              <w:rPr/>
              <w:t> </w:t>
            </w:r>
          </w:p>
        </w:tc>
      </w:tr>
      <w:tr>
        <w:trPr/>
        <w:tc>
          <w:tcPr>
            <w:tcW w:w="55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Jitendra Mohan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5534"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Philip Mazzara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3/11/2022</w:t>
            </w:r>
          </w:p>
        </w:tc>
        <w:tc>
          <w:tcPr>
            <w:tcW w:w="620" w:type="dxa"/>
            <w:tcBorders/>
            <w:vAlign w:val="bottom"/>
          </w:tcPr>
          <w:p>
            <w:pPr>
              <w:pStyle w:val="TableContents"/>
              <w:bidi w:val="0"/>
              <w:spacing w:before="0" w:after="283"/>
              <w:jc w:val="left"/>
              <w:rPr/>
            </w:pPr>
            <w:r>
              <w:rPr/>
              <w:t>(2)(6) </w:t>
            </w:r>
          </w:p>
        </w:tc>
        <w:tc>
          <w:tcPr>
            <w:tcW w:w="37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135,417</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2,480,839</w:t>
            </w:r>
          </w:p>
        </w:tc>
        <w:tc>
          <w:tcPr>
            <w:tcW w:w="67" w:type="dxa"/>
            <w:tcBorders/>
            <w:vAlign w:val="bottom"/>
          </w:tcPr>
          <w:p>
            <w:pPr>
              <w:pStyle w:val="TableContents"/>
              <w:bidi w:val="0"/>
              <w:spacing w:before="0" w:after="283"/>
              <w:jc w:val="left"/>
              <w:rPr/>
            </w:pPr>
            <w:r>
              <w:rPr/>
              <w:t> </w:t>
            </w:r>
          </w:p>
        </w:tc>
      </w:tr>
      <w:tr>
        <w:trPr/>
        <w:tc>
          <w:tcPr>
            <w:tcW w:w="5534"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8/23/2022</w:t>
            </w:r>
          </w:p>
        </w:tc>
        <w:tc>
          <w:tcPr>
            <w:tcW w:w="620" w:type="dxa"/>
            <w:tcBorders/>
            <w:shd w:fill="CCEEFF" w:val="clear"/>
            <w:vAlign w:val="bottom"/>
          </w:tcPr>
          <w:p>
            <w:pPr>
              <w:pStyle w:val="TableContents"/>
              <w:bidi w:val="0"/>
              <w:spacing w:before="0" w:after="283"/>
              <w:jc w:val="left"/>
              <w:rPr/>
            </w:pPr>
            <w:r>
              <w:rPr/>
              <w:t>(3)(6) </w:t>
            </w:r>
          </w:p>
        </w:tc>
        <w:tc>
          <w:tcPr>
            <w:tcW w:w="37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30,973</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567,435</w:t>
            </w:r>
          </w:p>
        </w:tc>
        <w:tc>
          <w:tcPr>
            <w:tcW w:w="67" w:type="dxa"/>
            <w:tcBorders/>
            <w:shd w:fill="CCEEFF" w:val="clear"/>
            <w:vAlign w:val="bottom"/>
          </w:tcPr>
          <w:p>
            <w:pPr>
              <w:pStyle w:val="TableContents"/>
              <w:bidi w:val="0"/>
              <w:spacing w:before="0" w:after="283"/>
              <w:jc w:val="left"/>
              <w:rPr/>
            </w:pPr>
            <w:r>
              <w:rPr/>
              <w:t> </w:t>
            </w:r>
          </w:p>
        </w:tc>
      </w:tr>
      <w:tr>
        <w:trPr/>
        <w:tc>
          <w:tcPr>
            <w:tcW w:w="5534"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8/9/2023</w:t>
            </w:r>
          </w:p>
        </w:tc>
        <w:tc>
          <w:tcPr>
            <w:tcW w:w="620" w:type="dxa"/>
            <w:tcBorders/>
            <w:vAlign w:val="bottom"/>
          </w:tcPr>
          <w:p>
            <w:pPr>
              <w:pStyle w:val="TableContents"/>
              <w:bidi w:val="0"/>
              <w:spacing w:before="0" w:after="283"/>
              <w:jc w:val="left"/>
              <w:rPr/>
            </w:pPr>
            <w:r>
              <w:rPr/>
              <w:t>(4)(6) </w:t>
            </w:r>
          </w:p>
        </w:tc>
        <w:tc>
          <w:tcPr>
            <w:tcW w:w="37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44,248</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810,623</w:t>
            </w:r>
          </w:p>
        </w:tc>
        <w:tc>
          <w:tcPr>
            <w:tcW w:w="67" w:type="dxa"/>
            <w:tcBorders/>
            <w:vAlign w:val="bottom"/>
          </w:tcPr>
          <w:p>
            <w:pPr>
              <w:pStyle w:val="TableContents"/>
              <w:bidi w:val="0"/>
              <w:spacing w:before="0" w:after="283"/>
              <w:jc w:val="left"/>
              <w:rPr/>
            </w:pPr>
            <w:r>
              <w:rPr/>
              <w:t> </w:t>
            </w:r>
          </w:p>
        </w:tc>
      </w:tr>
      <w:tr>
        <w:trPr/>
        <w:tc>
          <w:tcPr>
            <w:tcW w:w="5534" w:type="dxa"/>
            <w:vMerge w:val="restart"/>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Mike Tate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9/10/2020</w:t>
            </w:r>
          </w:p>
        </w:tc>
        <w:tc>
          <w:tcPr>
            <w:tcW w:w="620" w:type="dxa"/>
            <w:tcBorders/>
            <w:shd w:fill="CCEEFF" w:val="clear"/>
            <w:vAlign w:val="bottom"/>
          </w:tcPr>
          <w:p>
            <w:pPr>
              <w:pStyle w:val="TableContents"/>
              <w:bidi w:val="0"/>
              <w:spacing w:before="0" w:after="283"/>
              <w:jc w:val="left"/>
              <w:rPr/>
            </w:pPr>
            <w:r>
              <w:rPr/>
              <w:t>(5)(6) </w:t>
            </w:r>
          </w:p>
        </w:tc>
        <w:tc>
          <w:tcPr>
            <w:tcW w:w="37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40,625</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744,250</w:t>
            </w:r>
          </w:p>
        </w:tc>
        <w:tc>
          <w:tcPr>
            <w:tcW w:w="67" w:type="dxa"/>
            <w:tcBorders/>
            <w:shd w:fill="CCEEFF" w:val="clear"/>
            <w:vAlign w:val="bottom"/>
          </w:tcPr>
          <w:p>
            <w:pPr>
              <w:pStyle w:val="TableContents"/>
              <w:bidi w:val="0"/>
              <w:spacing w:before="0" w:after="283"/>
              <w:jc w:val="left"/>
              <w:rPr/>
            </w:pPr>
            <w:r>
              <w:rPr/>
              <w:t> </w:t>
            </w:r>
          </w:p>
        </w:tc>
      </w:tr>
      <w:tr>
        <w:trPr/>
        <w:tc>
          <w:tcPr>
            <w:tcW w:w="5534"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8/23/2022</w:t>
            </w:r>
          </w:p>
        </w:tc>
        <w:tc>
          <w:tcPr>
            <w:tcW w:w="620" w:type="dxa"/>
            <w:tcBorders/>
            <w:vAlign w:val="bottom"/>
          </w:tcPr>
          <w:p>
            <w:pPr>
              <w:pStyle w:val="TableContents"/>
              <w:bidi w:val="0"/>
              <w:spacing w:before="0" w:after="283"/>
              <w:jc w:val="left"/>
              <w:rPr/>
            </w:pPr>
            <w:r>
              <w:rPr/>
              <w:t>(3)(6) </w:t>
            </w:r>
          </w:p>
        </w:tc>
        <w:tc>
          <w:tcPr>
            <w:tcW w:w="37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169,125</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3,098,370</w:t>
            </w:r>
          </w:p>
        </w:tc>
        <w:tc>
          <w:tcPr>
            <w:tcW w:w="67" w:type="dxa"/>
            <w:tcBorders/>
            <w:vAlign w:val="bottom"/>
          </w:tcPr>
          <w:p>
            <w:pPr>
              <w:pStyle w:val="TableContents"/>
              <w:bidi w:val="0"/>
              <w:spacing w:before="0" w:after="283"/>
              <w:jc w:val="left"/>
              <w:rPr/>
            </w:pPr>
            <w:r>
              <w:rPr/>
              <w:t> </w:t>
            </w:r>
          </w:p>
        </w:tc>
      </w:tr>
      <w:tr>
        <w:trPr/>
        <w:tc>
          <w:tcPr>
            <w:tcW w:w="5534" w:type="dxa"/>
            <w:vMerge w:val="continue"/>
            <w:tcBorders/>
            <w:shd w:fill="CCEEFF" w:val="clear"/>
          </w:tcPr>
          <w:p>
            <w:pPr>
              <w:pStyle w:val="Normal"/>
              <w:bidi w:val="0"/>
              <w:jc w:val="left"/>
              <w:rPr/>
            </w:pPr>
            <w:r>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8/9/2023</w:t>
            </w:r>
          </w:p>
        </w:tc>
        <w:tc>
          <w:tcPr>
            <w:tcW w:w="620" w:type="dxa"/>
            <w:tcBorders/>
            <w:shd w:fill="CCEEFF" w:val="clear"/>
            <w:vAlign w:val="bottom"/>
          </w:tcPr>
          <w:p>
            <w:pPr>
              <w:pStyle w:val="TableContents"/>
              <w:bidi w:val="0"/>
              <w:spacing w:before="0" w:after="283"/>
              <w:jc w:val="left"/>
              <w:rPr/>
            </w:pPr>
            <w:r>
              <w:rPr/>
              <w:t>(4)(6) </w:t>
            </w:r>
          </w:p>
        </w:tc>
        <w:tc>
          <w:tcPr>
            <w:tcW w:w="37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61,455</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1,125,865</w:t>
            </w:r>
          </w:p>
        </w:tc>
        <w:tc>
          <w:tcPr>
            <w:tcW w:w="67"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Amounts reflect the fair value of our common stock of $18.32 per share as of December 31, 2023, as determined by our board of directors, multiplied by the amount shown in the column for the number of shares that have not vested.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award represents unvested shares acquired upon the exercise of a stock option. Such shares are subject to the following vesting schedule: 25% of the shares vested on February 9, 2023, with the remaining shares vesting in 36 equal monthly installments thereafter, subject to Mr. Mazzaras continued service with us on each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restricted stock units are subject to both time-and liquidity-based vesting conditions. The time-based condition is satisfied as follows: 25% of the restricted stock units vested on August 15, 2023 and the remaining 75% of the restricted stock units vest in twelve (12) equal quarterly installments thereafter, subject to the named executive officers continued service with us on each applicable vesting date. The liquidity-based condition will be satisfied in connection with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restricted stock units are subject to both time- and liquidity-based vesting conditions. The time-based condition is satisfied as follows: 25% of the restricted stock units vest on August 15, 2024 and the remaining 75% of the restricted stock units vest in twelve (12) equal quarterly installments thereafter, subject to the name executive officers continued service with us on each applicable vesting date. The liquidity-based condition will be satisfied in connection with this offering.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award represents unvested shares acquired upon the exercise of a stock option. Such shares are subject to the following vesting schedule: 7/48th of the shares vested on September 10, 2020, with the remaining shares vesting in 41 equal monthly installments commencing from one-month anniversary of September 1, 2020, subject to Mr. Tates continued service with us on each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Upon a Qualifying Termination (as defined below), each of Messrs. Mazzara and Tate are entitled to (A) 50% accelerated vesting of all then unvested equity incentives as of his date of termination, if he has been continuously employed by us for fewer than 24 months on the date of termination, or (B) full accelerated vesting of all unvested equity incentives as of his date of termination, if he has been continuously employed by us for 24 months or greater on the date of termination, subject, in each case, to Messrs. Mazzaras and Tates timely execution of a separation agreement including a release in favor of 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Employee Benefit and Equity Compensation Plans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2024 Stock Option and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2024 Plan was adopted by our board of directors on February 16, 2024, approved by our stockholders on     , 2024, and will become effective upon the date immediately preceding the date on which the registration statement of which this prospectus is part is declared effective by the SEC. The 2024 Plan will replace the 2018 Plan as our board of directors has determined not to make additional awards under the 2018 Plan following the closing of this offering. However, the 2018 Plan will continue to govern outstanding equity awards granted thereunder. The 2024 Plan provides flexibility to our compensation committee to use various equity-based incentive awards as compensation tools to motivate our workforce. </w:t>
      </w:r>
    </w:p>
    <w:p>
      <w:pPr>
        <w:pStyle w:val="TextBody"/>
        <w:bidi w:val="0"/>
        <w:spacing w:before="240" w:after="0"/>
        <w:jc w:val="both"/>
        <w:rPr>
          <w:rFonts w:ascii="Times New Roman" w:hAnsi="Times New Roman"/>
          <w:sz w:val="20"/>
        </w:rPr>
      </w:pPr>
      <w:r>
        <w:rPr>
          <w:rFonts w:ascii="Times New Roman" w:hAnsi="Times New Roman"/>
          <w:sz w:val="20"/>
        </w:rPr>
        <w:t xml:space="preserve">We have initially reserved    shares of our common stock for the issuance of awards under the 2024 Plan (the Initial Limit). The 2024 Plan provides that the number of shares reserved and available for issuance under the 2024 Plan will automatically increase on January 1, 2025 and each January 1 thereafter, by 5% of the outstanding number of shares of our common stock on the immediately preceding December 31, or such lesser number of shares as determined by our compensation committee (the Annual Increase). The number of shares reserved under the 2024 Plan is subject to adjustment in the event of a stock split, stock dividend or other change in our 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shares we issue under the 2024 Plan will be authorized but unissued shares or shares that we reacquire. The shares of common stock underlying any awards under the 2024 Plan and the 2018 Plan that are forfeited, cancelled, held back upon exercise or settlement of an award to satisfy the exercise price or tax withholding, reacquired by us prior to vesting, satisfied without the issuance of stock or are otherwise terminated (other than by exercise) will be added back to the shares of common stock available for issuance under the 2024 Plan. </w:t>
      </w:r>
    </w:p>
    <w:p>
      <w:pPr>
        <w:pStyle w:val="TextBody"/>
        <w:bidi w:val="0"/>
        <w:spacing w:before="240" w:after="0"/>
        <w:jc w:val="both"/>
        <w:rPr>
          <w:rFonts w:ascii="Times New Roman" w:hAnsi="Times New Roman"/>
          <w:sz w:val="20"/>
        </w:rPr>
      </w:pPr>
      <w:r>
        <w:rPr>
          <w:rFonts w:ascii="Times New Roman" w:hAnsi="Times New Roman"/>
          <w:sz w:val="20"/>
        </w:rPr>
        <w:t xml:space="preserve">The maximum aggregate number of shares that may be issued in the form of incentive stock options shall not exceed the Initial Limit, cumulatively increased on January 1, 2025 and on each January 1 thereafter by the lesser of the Annual Increase for such year or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grant date fair value of all awards made under our 2024 Plan and all other cash compensation paid by us to any non-employee director in any calendar year for services as a non-employee director shall not exceed $750,000; provided, however, that such amount shall be $1,000,000 for the calendar year in which the applicable non-employee director is initially elected or appointed to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2024 Plan will be administered by our compensation committee. Our compensation committee has the full power to select, from among the individuals eligible for awards, the individuals to whom awards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2024 Plan. Persons eligible to participate in the 2024 Plan will be those full or part-time officers, employees, non-employee directors and consultants as selected from time to time by our compensation committee in its discretion. </w:t>
      </w:r>
    </w:p>
    <w:p>
      <w:pPr>
        <w:pStyle w:val="TextBody"/>
        <w:bidi w:val="0"/>
        <w:spacing w:before="240" w:after="0"/>
        <w:jc w:val="both"/>
        <w:rPr>
          <w:rFonts w:ascii="Times New Roman" w:hAnsi="Times New Roman"/>
          <w:sz w:val="20"/>
        </w:rPr>
      </w:pPr>
      <w:r>
        <w:rPr>
          <w:rFonts w:ascii="Times New Roman" w:hAnsi="Times New Roman"/>
          <w:sz w:val="20"/>
        </w:rPr>
        <w:t xml:space="preserve">The 2024 Plan permits the granting of both options to purchase common stock intended to qualify as incentive stock options under Section 422 of the U.S. Internal Revenue Code of 1986, as amended (the Code), and options that do not so qualify. The option exercise price of each option will be determined by our compensation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ten years from the date of grant. Our compensation committee will determine at what time or times each option may be exercised.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is granted (i) pursuant to a transaction described in, and in a manner consistent with, Section 424(a) of the Code or (ii) to individuals who are not subject to U.S. income tax. The term of each stock appreciation right will be fixed by our compensation committee and may not exceed ten years from the date of grant. Our compensation committee will determine at what time or times each stock appreciation right may be exercised.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2024 Plan. Unrestricted stock may be granted to participants in recognition of past services or for other valid consideration and may be issued in lieu of cash compensation due to such participant.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may grant dividend equivalent rights to participants that entitle the recipient to receive credits for dividends that would be paid if the recipient had held a specified number of shares 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may grant cash bonuses under the 2024 Plan to participants, subject to the achievement of certain performance goals. </w:t>
      </w:r>
    </w:p>
    <w:p>
      <w:pPr>
        <w:pStyle w:val="TextBody"/>
        <w:bidi w:val="0"/>
        <w:spacing w:before="240" w:after="0"/>
        <w:jc w:val="both"/>
        <w:rPr>
          <w:rFonts w:ascii="Times New Roman" w:hAnsi="Times New Roman"/>
          <w:sz w:val="20"/>
        </w:rPr>
      </w:pPr>
      <w:r>
        <w:rPr>
          <w:rFonts w:ascii="Times New Roman" w:hAnsi="Times New Roman"/>
          <w:sz w:val="20"/>
        </w:rPr>
        <w:t xml:space="preserve">The 2024 Plan provides that upon the effectiveness of a sale event, as defined in the 2024 Plan, an acquirer or successor entity may assume, continue, or substitute outstanding awards under the 2024 Plan. To the extent that awards granted under the 2024 Plan are not assumed or continued or substituted by the successor entity, upon the effective time of the sale event, such awards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individuals holding options and stock appreciation rights (i) may be permitted to exercise such options and stock appreciation rights (to the extent exercisable) within a specified period of time prior to the sale event, or (ii) we may make or provide for a payment, in cash or in kind, to participants holding vested and exercisable options and stock appreciation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equal to the difference between the per share consideration payable to stockholders in the sale event and the exercise price of the options or stock appreciation rights. In addition, we may make or provide for a payment, in cash or in kind, to participants holding other vested awards.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may amend or discontinue the 2024 Plan and our compensation committee may amend or cancel outstanding awards for purposes of satisfying changes in law or any other lawful purpose but no such action may adversely affect rights under an award without the holders consent. Certain amendments to the 2024 Plan require the approval of our stockholders. The administrator of the 2024 Plan is specifically authorized to exercise its discretion to reduce the exercise price of outstanding stock options and stock appreciation rights or effect the repricing of such awards through cancellation and re-grants without stockholder consent. No awards may be granted under the 2024 Plan after the date that is ten years from the effective date of the 2024 Plan. No awards under the 2024 Plan have been made prior to the date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Each award under the 2024 Plan will be subject to reduction, cancellation, forfeiture, or recoupment to the extent necessary to comply with (i) any right we have under any clawback, forfeiture, or recoupment policy or other agreement or arrangement or (ii)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2018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2018 Plan was originally adopted by our board of directors and stockholders on March 13, 2018, and was most recently amended and approved by our stockholders on    , 2024. The 2018 Plan provides flexibility to our compensation committee to use various equity-based incentive awards as compensation tools to motivate our workforce.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we reserved 37,519,114 shares of our common stock for the issuance of awards under the 2018 Plan. On January 25, 2024, our Board authorized the increase of the number of shares that may be issued under the 2018 Plan to 46,340,261 shares. The maximum aggregate number of shares that may be issued in the form of incentive stock options cannot exceed 10,000,000 shares of common stock. The number of shares reserved under the 2018 Plan is subject to adjustment in the event of a stock split, stock dividend or other change in our 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shares we issue under the 2018 Plan are authorized but unissued shares or shares that we reacquire. The shares of common stock underlying any awards under the 2018 Plan that (i) cease to be subject to issuance upon exercise of an option, other than due to the exercise of such option, (ii) are issued upon exercise of an award but are forfeited or repurchased by us, or (iii) in the case of restricted stock units, are forfeited, canceled, reacquired by us prior to vesting, satisfied without the issuance of stock (including awards settled in cash), or withheld upon settlement of an award to cover any tax withholding or otherwise terminated, will be added back to the shares of common stock available for issuance under the 2018 Plan. </w:t>
      </w:r>
    </w:p>
    <w:p>
      <w:pPr>
        <w:pStyle w:val="TextBody"/>
        <w:bidi w:val="0"/>
        <w:spacing w:before="240" w:after="0"/>
        <w:jc w:val="both"/>
        <w:rPr>
          <w:rFonts w:ascii="Times New Roman" w:hAnsi="Times New Roman"/>
          <w:sz w:val="20"/>
        </w:rPr>
      </w:pPr>
      <w:r>
        <w:rPr>
          <w:rFonts w:ascii="Times New Roman" w:hAnsi="Times New Roman"/>
          <w:sz w:val="20"/>
        </w:rPr>
        <w:t xml:space="preserve">The 2018 Plan is administered by our board or a committee designated by our board to administer the plan. The 2018 Plans administrator has the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to impose any limitations and/or vesting conditions on each award and to determine the specific terms and conditions of each award, subject to the provisions of the 2018 Plan. Persons eligible to participate in the 2018 Plan will be those full or part-time officers, employees, non-employee directors and consultants as selected from time to time by the 2018 Plans administrator in its discretion. </w:t>
      </w:r>
    </w:p>
    <w:p>
      <w:pPr>
        <w:pStyle w:val="TextBody"/>
        <w:bidi w:val="0"/>
        <w:spacing w:before="240" w:after="0"/>
        <w:jc w:val="both"/>
        <w:rPr>
          <w:rFonts w:ascii="Times New Roman" w:hAnsi="Times New Roman"/>
          <w:sz w:val="20"/>
        </w:rPr>
      </w:pPr>
      <w:r>
        <w:rPr>
          <w:rFonts w:ascii="Times New Roman" w:hAnsi="Times New Roman"/>
          <w:sz w:val="20"/>
        </w:rPr>
        <w:t xml:space="preserve">The 2018 Plan permits the granting of both options to purchase common stock intended to qualify as incentive stock options under Section 422 of the Code and options that do not so qualify. The option exercise price of each option will be determined by the 2018 Plans administrator but may not be less than 100% of the fair market value of our common stock on the date of grant unless the option is granted (i) pursuant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transaction described in, and in a manner consistent with, Section 424(a) of the Code or (ii) to individuals who are not subject to U.S. income tax. The term of each option will be fixed by the 2018 Plans administrator and may not exceed ten years from the date of grant. The 2018 Plans administrator determines at what time or times each option may be exercised. </w:t>
      </w:r>
    </w:p>
    <w:p>
      <w:pPr>
        <w:pStyle w:val="TextBody"/>
        <w:bidi w:val="0"/>
        <w:spacing w:before="240" w:after="0"/>
        <w:jc w:val="both"/>
        <w:rPr>
          <w:rFonts w:ascii="Times New Roman" w:hAnsi="Times New Roman"/>
          <w:sz w:val="20"/>
        </w:rPr>
      </w:pPr>
      <w:r>
        <w:rPr>
          <w:rFonts w:ascii="Times New Roman" w:hAnsi="Times New Roman"/>
          <w:sz w:val="20"/>
        </w:rPr>
        <w:t xml:space="preserve">The 2018 Plans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w:t>
      </w:r>
    </w:p>
    <w:p>
      <w:pPr>
        <w:pStyle w:val="TextBody"/>
        <w:bidi w:val="0"/>
        <w:spacing w:before="240" w:after="0"/>
        <w:jc w:val="both"/>
        <w:rPr>
          <w:rFonts w:ascii="Times New Roman" w:hAnsi="Times New Roman"/>
          <w:sz w:val="20"/>
        </w:rPr>
      </w:pPr>
      <w:r>
        <w:rPr>
          <w:rFonts w:ascii="Times New Roman" w:hAnsi="Times New Roman"/>
          <w:sz w:val="20"/>
        </w:rPr>
        <w:t xml:space="preserve">The 2018 Plan provides that in the event of (i) a merger or consolidation in which our company as it currently stands is not the surviving corporation, (ii) a merger in which our company as it currently stands is the surviving corporation but after which our stockholders immediately prior to such merger (other than any stockholder which merges with us in such merger, or which owns or controls another corporation which merges with us in such merger) cease to own their shares or other of our equity interests, or (iii) the sale of all or substantially all of our assets (each, a Transaction), an acquirer or successor entity may assume, substitute, convert, or replace outstanding options under the 2018 Plan. To the extent that options granted under the 2018 Plan are not assumed, substituted, converted, or replaced by the acquiring or successor entity, such options will expire, provided that the 2018 Plans administrator may elect to accelerate the vesting of any or all such outstanding options. Further, such outstanding options may be treated as provided in the applicable agreement or plan of merger, consolidation, dissolution, liquidation, or sale of assets. In the event of the occurrence of any Transaction described above, any outstanding restricted stock units will be treated as provided in the applicable agreement or plan of merger, consolidation, dissolution, liquidation, or sale of assets. Further, the 2018 Plans administrator may cancel restricted stock units without the participants consent in exchange for a payment equal to the value of the consideration payable per share pursuant to the Transaction multiplied by the number of shares subject to such restricted stock units held by the applicable participant. </w:t>
      </w:r>
    </w:p>
    <w:p>
      <w:pPr>
        <w:pStyle w:val="TextBody"/>
        <w:bidi w:val="0"/>
        <w:spacing w:before="240" w:after="0"/>
        <w:jc w:val="both"/>
        <w:rPr>
          <w:rFonts w:ascii="Times New Roman" w:hAnsi="Times New Roman"/>
          <w:sz w:val="20"/>
        </w:rPr>
      </w:pPr>
      <w:r>
        <w:rPr>
          <w:rFonts w:ascii="Times New Roman" w:hAnsi="Times New Roman"/>
          <w:sz w:val="20"/>
        </w:rPr>
        <w:t xml:space="preserve">The 2018 Plans administrator may amend or discontinue the 2018 Plan, including without limitation amendment of any form of applicable award agreement or instrument to be executed pursuant to the 2018 Plan, but no such action may adversely affect rights under an award without the holders consent. Certain amendments to the 2018 Plan require the approval of our stockholders. No awards may be granted under the 2018 Plan after the date that is ten years from the effective date of the 2018 Plan. No awards will be granted under our 2018 Plan following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both"/>
        <w:rPr>
          <w:rFonts w:ascii="Times New Roman" w:hAnsi="Times New Roman"/>
          <w:sz w:val="20"/>
        </w:rPr>
      </w:pPr>
      <w:r>
        <w:rPr>
          <w:rFonts w:ascii="Times New Roman" w:hAnsi="Times New Roman"/>
          <w:sz w:val="20"/>
        </w:rPr>
        <w:t xml:space="preserve">Our ESPP was adopted by our board of directors on February 16, 2024, and approved by our stockholders on    , 2024, and will become effective on the date immediately preceding the date on which the registration statement of which this prospectus is part is declared effective by the SEC. The ESPP is intended to qualify as an employee stock purchase plan within the meaning of Section 423 of the Code. The ESPP initially reserves and authorizes the issuance of up to a total of     shares of common stock to participating employees. The ESPP provides that the number of shares reserved and available for issuance will automatically increase on January 1, 2025 and each January 1 thereafter through January 1, 2034, by the lesser of (i)    shares of common stock, (ii) 1% of the outstanding number of shares of our common stock on the immediately preceding December 31, or (iii) such lesser number of shares of common stock as determined by the administrator of the ESPP. The number of shares reserved under the ESPP will be subject to adjustment in the event of a stock split, stock dividend or other change in our capitalization. </w:t>
      </w:r>
    </w:p>
    <w:p>
      <w:pPr>
        <w:pStyle w:val="TextBody"/>
        <w:bidi w:val="0"/>
        <w:spacing w:before="240" w:after="0"/>
        <w:jc w:val="both"/>
        <w:rPr>
          <w:rFonts w:ascii="Times New Roman" w:hAnsi="Times New Roman"/>
          <w:sz w:val="20"/>
        </w:rPr>
      </w:pPr>
      <w:r>
        <w:rPr>
          <w:rFonts w:ascii="Times New Roman" w:hAnsi="Times New Roman"/>
          <w:sz w:val="20"/>
        </w:rPr>
        <w:t xml:space="preserve">All employees who are customarily employed by us or one of our designated subsidiaries will be eligible to participate in the ESPP. However, any employee who owns 5% or more of the total combined voting power or value of all classes of stock will not be eligible to purchase shares under the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may make one or more offerings each year to our employees to purchase shares under the ESPP. Our initial offerings will begin on the closing of this offering and will end on November 14, 2024. Thereafter, offerings will usually begin on each May 15 and November 15 and will continue for six-month periods, referred to as offering periods. Each eligible employee will be able to elect to participate in any offering by submitting an enrollment form at least 10 calendar days before the relevant offering date. </w:t>
      </w:r>
    </w:p>
    <w:p>
      <w:pPr>
        <w:pStyle w:val="TextBody"/>
        <w:bidi w:val="0"/>
        <w:spacing w:before="240" w:after="0"/>
        <w:jc w:val="both"/>
        <w:rPr>
          <w:rFonts w:ascii="Times New Roman" w:hAnsi="Times New Roman"/>
          <w:sz w:val="20"/>
        </w:rPr>
      </w:pPr>
      <w:r>
        <w:rPr>
          <w:rFonts w:ascii="Times New Roman" w:hAnsi="Times New Roman"/>
          <w:sz w:val="20"/>
        </w:rPr>
        <w:t xml:space="preserve">Each employee who is a participant in the ESPP will be able to purchase shares by authorizing payroll deductions between 1% and 15% of the employees eligible compensation during an offering period. Unless the participating employee has previously withdrawn from the offering, his or her accumulated payroll deductions will be used to purchase shares of common stock on the last business day of the purchase period at a price equal to 85% of the fair market value of the shares on the first business day or the last business day of the offering period, whichever is lower, provided that the number of shares of common stock that may be purchased by any one employee during any offering period shall not exceed the lowest of (i) a number of shares of common stock determined by dividing the employees accumulated payroll deductions on the last day of the offering period by the lower of (A) 85% of the fair market value of the common stock on the first day of the offering or (B) 85% of the fair market value of the common stock on the last business day of the offering period, (ii) 3,000 shares, or (iii) such other lesser maximum number of shares as may be established by the administrator. Under applicable tax rules, an employee may purchase no more than $25,000 worth of shares of common stock, valued at the start of the purchase period, under the ESPP in any calendar year. </w:t>
      </w:r>
    </w:p>
    <w:p>
      <w:pPr>
        <w:pStyle w:val="TextBody"/>
        <w:bidi w:val="0"/>
        <w:spacing w:before="240" w:after="0"/>
        <w:jc w:val="both"/>
        <w:rPr>
          <w:rFonts w:ascii="Times New Roman" w:hAnsi="Times New Roman"/>
          <w:sz w:val="20"/>
        </w:rPr>
      </w:pPr>
      <w:r>
        <w:rPr>
          <w:rFonts w:ascii="Times New Roman" w:hAnsi="Times New Roman"/>
          <w:sz w:val="20"/>
        </w:rPr>
        <w:t xml:space="preserve">The accumulated payroll deductions of any employee who is not a participant on the last day of an offering period will be refunded. An employees rights under the ESPP will terminate upon voluntary withdrawal from the plan or when the employee ceases employment with us for any reason. </w:t>
      </w:r>
    </w:p>
    <w:p>
      <w:pPr>
        <w:pStyle w:val="TextBody"/>
        <w:bidi w:val="0"/>
        <w:spacing w:before="240" w:after="0"/>
        <w:jc w:val="both"/>
        <w:rPr>
          <w:rFonts w:ascii="Times New Roman" w:hAnsi="Times New Roman"/>
          <w:sz w:val="20"/>
        </w:rPr>
      </w:pPr>
      <w:r>
        <w:rPr>
          <w:rFonts w:ascii="Times New Roman" w:hAnsi="Times New Roman"/>
          <w:sz w:val="20"/>
        </w:rPr>
        <w:t xml:space="preserve">The ESPP provides that upon the effectiveness of a sale event, as defined in the 2024 Plan, the administrator may take one or more of the following actions to prevent the dilution or enlargement of the intended benefits under the ESPP: (i) terminate outstanding options in exchange for cash compensation, (ii) replace outstanding options in exchange for other options or property, as determined by the administrator, (iii) provide that outstanding options under the ESPP will be assumed or substituted by the successor or survivor corporation, (iv) adjust the number and type of shares of common stock subject to each outstanding option, (v) shorten an offering period by setting a new exercise date on which the current offering period will end (which will occur prior to the sale event), and (vi) terminate outstanding options and refund all accumulated payroll deductions. </w:t>
      </w:r>
    </w:p>
    <w:p>
      <w:pPr>
        <w:pStyle w:val="TextBody"/>
        <w:bidi w:val="0"/>
        <w:spacing w:before="240" w:after="0"/>
        <w:jc w:val="both"/>
        <w:rPr>
          <w:rFonts w:ascii="Times New Roman" w:hAnsi="Times New Roman"/>
          <w:sz w:val="20"/>
        </w:rPr>
      </w:pPr>
      <w:r>
        <w:rPr>
          <w:rFonts w:ascii="Times New Roman" w:hAnsi="Times New Roman"/>
          <w:sz w:val="20"/>
        </w:rPr>
        <w:t xml:space="preserve">The ESPP may be terminated or amended by our board of directors at any time. An amendment that increases the number of shares of common stock authorized under the ESPP and certain other amendments will require the approval of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of Control Severance Policy for Principal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In August 2023, our board of directors adopted the Change of Control Severance Policy for Principal Executive Officers (the Severance Policy), pursuant to which certain executive officers are eligible for severance upon either a (A) termination by us for any reason other than for good cause (as such term is defined in the Severance Policy) or (B) resignation by an eligible executive for good reason (as such term is defined in the Severance Policy), in each case, during the period three months prior to or 12 months following a change of control (as defined in the Severance Policy) (a Qualifying Termination). </w:t>
      </w:r>
    </w:p>
    <w:p>
      <w:pPr>
        <w:pStyle w:val="TextBody"/>
        <w:bidi w:val="0"/>
        <w:spacing w:before="240" w:after="0"/>
        <w:jc w:val="both"/>
        <w:rPr>
          <w:rFonts w:ascii="Times New Roman" w:hAnsi="Times New Roman"/>
          <w:sz w:val="20"/>
        </w:rPr>
      </w:pPr>
      <w:r>
        <w:rPr>
          <w:rFonts w:ascii="Times New Roman" w:hAnsi="Times New Roman"/>
          <w:sz w:val="20"/>
        </w:rPr>
        <w:t xml:space="preserve">Upon a Qualifying Termination, eligible executives are entitled to (i) a lump-sum payment equal to six (6) months of the executives base salary in effect on the termination date, (ii) a lump-sum payment equal to 50% of the executives annual target bonus, (iii) a lump-sum payment equal to the executives target bonus, pro-rated for the number of months employed during the fiscal year prior to the termination date, (iv) up to six (6) months of company-paid COBRA payments equal to the premiums we would have made to provide health insurance to the executive if the executive had remained employed by us, and (v) with respect to equity incentives, (A) 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accelerated vesting of all then unvested equity awards as of the executives date of termination, if executive has been continuously employed by us for fewer than twenty-four (24) months on the date of termination, or (B) full accelerated vesting of all unvested equity awards as of the executives date of termination, if executive has been continuously employed by us for twenty-four (24) months or greater on the date of termination, subject, in each case, to the executives timely execution of a separation agreement including a release in favor of us. </w:t>
      </w:r>
    </w:p>
    <w:p>
      <w:pPr>
        <w:pStyle w:val="TextBody"/>
        <w:bidi w:val="0"/>
        <w:spacing w:before="240" w:after="0"/>
        <w:jc w:val="both"/>
        <w:rPr>
          <w:rFonts w:ascii="Times New Roman" w:hAnsi="Times New Roman"/>
          <w:sz w:val="20"/>
        </w:rPr>
      </w:pPr>
      <w:r>
        <w:rPr>
          <w:rFonts w:ascii="Times New Roman" w:hAnsi="Times New Roman"/>
          <w:sz w:val="20"/>
        </w:rPr>
        <w:t xml:space="preserve">Additionally, to the extent the parties to the change of control do not provide for the assumption, continuation or substitution of our equity awards, subject to the executives continued employment with us through immediately prior to the effective date of such change of control, all equity awards with time-based vesting conditions that are not vested and/or exercisable immediately prior to the effective time of the change of control shall become fully vested and exercisable as of the effective time of the change of control. </w:t>
      </w:r>
    </w:p>
    <w:p>
      <w:pPr>
        <w:pStyle w:val="TextBody"/>
        <w:bidi w:val="0"/>
        <w:spacing w:before="240" w:after="0"/>
        <w:jc w:val="both"/>
        <w:rPr>
          <w:rFonts w:ascii="Times New Roman" w:hAnsi="Times New Roman"/>
          <w:sz w:val="20"/>
        </w:rPr>
      </w:pPr>
      <w:r>
        <w:rPr>
          <w:rFonts w:ascii="Times New Roman" w:hAnsi="Times New Roman"/>
          <w:sz w:val="20"/>
        </w:rPr>
        <w:t xml:space="preserve">The payments and benefits provided under the Severance Policy in connection with a change in control may not be eligible for a federal income tax deduction by us pursuant to Section 280G of the Code. These payments and benefits may also subject an eligible executive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eligible executive.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Senior Executive Cash Incentive Bonus Plan </w:t>
      </w:r>
    </w:p>
    <w:p>
      <w:pPr>
        <w:pStyle w:val="TextBody"/>
        <w:bidi w:val="0"/>
        <w:spacing w:before="120" w:after="0"/>
        <w:jc w:val="both"/>
        <w:rPr>
          <w:rFonts w:ascii="Times New Roman" w:hAnsi="Times New Roman"/>
          <w:sz w:val="20"/>
        </w:rPr>
      </w:pPr>
      <w:r>
        <w:rPr>
          <w:rFonts w:ascii="Times New Roman" w:hAnsi="Times New Roman"/>
          <w:sz w:val="20"/>
        </w:rPr>
        <w:t xml:space="preserve">On February 16, 2024, our board of directors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(the Corporate Performance Goals), as well as individual performance objectives.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may select Corporate Performance Goals from among the following: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or any other performance goal selected by the compensation committee, any of which may be measured in absolute terms, as compared to any incremental increase, in terms of growth, or as compared to results of a peer group, against the market as a whole, compared to applicable market indices and/or measured on a pre-tax or post-tax basis. </w:t>
      </w:r>
    </w:p>
    <w:p>
      <w:pPr>
        <w:pStyle w:val="TextBody"/>
        <w:bidi w:val="0"/>
        <w:spacing w:before="240" w:after="0"/>
        <w:jc w:val="both"/>
        <w:rPr>
          <w:rFonts w:ascii="Times New Roman" w:hAnsi="Times New Roman"/>
          <w:sz w:val="20"/>
        </w:rPr>
      </w:pPr>
      <w:r>
        <w:rPr>
          <w:rFonts w:ascii="Times New Roman" w:hAnsi="Times New Roman"/>
          <w:sz w:val="20"/>
        </w:rPr>
        <w:t xml:space="preserve">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award under the Bonus Plan will be subject to reduction, cancellation, forfeiture, or recoupment to the extent necessary to comply with (i) any right we have under any clawback, forfeiture, or recoupment policy or other agreement or arrangement or (ii)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We participate in a retirement savings plan, or 401(k) plan, that is intended to qualify for favorable tax treatment under Section 401(a) of the Code, and contains a cash or deferred feature that is intended to meet the requirements of Section 401(k) of the Code. U.S. employees who are at least 18 years of age are generally eligible to participate in the 401(k) plan, subject to certain criteria.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An employees interest in his or her salary deferral contributions is 100% vested when contributed.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285484_13"/>
      <w:bookmarkEnd w:id="16"/>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2021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 involved exceeded or exceeds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directors, director nominees, executive officers or beneficial owners of more than 5% of any class of our voting securities, or any immediate family member of, or person sharing the household with, any of these individuals,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Financings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Series C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From August 2021 through November 2021, we sold an aggregate of 7,809,814 shares of Series C Preferred Stock at a purchase price of $6.7236 per share, for an aggregate purchase price of approximately $52.5 million. The Series C Preferred Stock sold in November 2021 were sold in connection with a secondary sale. See 2021 Secondary Sales below. The following table summarizes purchases of our Series C Preferred Stock by our directors and beneficial owners of more than 5% of our capital stock and their affiliated entities. Other than as set forth below, none of our directors or executive officers purchased shares of our Series C Preferred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46"/>
        <w:gridCol w:w="138"/>
        <w:gridCol w:w="60"/>
        <w:gridCol w:w="1034"/>
        <w:gridCol w:w="60"/>
        <w:gridCol w:w="138"/>
        <w:gridCol w:w="154"/>
        <w:gridCol w:w="1310"/>
        <w:gridCol w:w="65"/>
      </w:tblGrid>
      <w:tr>
        <w:trPr/>
        <w:tc>
          <w:tcPr>
            <w:tcW w:w="724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2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38"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C</w:t>
              <w:br/>
              <w:t>Preferred</w:t>
              <w:br/>
              <w:t>Stock</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Purchase</w:t>
              <w:br/>
              <w:t>Price</w:t>
            </w:r>
          </w:p>
        </w:tc>
        <w:tc>
          <w:tcPr>
            <w:tcW w:w="65"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Manuel Alba</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3,718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24,998</w:t>
            </w:r>
          </w:p>
        </w:tc>
        <w:tc>
          <w:tcPr>
            <w:tcW w:w="65"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Entity affiliated with Stefan A. Dyckerhoff</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6,568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44,161</w:t>
            </w:r>
          </w:p>
        </w:tc>
        <w:tc>
          <w:tcPr>
            <w:tcW w:w="65" w:type="dxa"/>
            <w:tcBorders/>
            <w:vAlign w:val="bottom"/>
          </w:tcPr>
          <w:p>
            <w:pPr>
              <w:pStyle w:val="TableContents"/>
              <w:bidi w:val="0"/>
              <w:spacing w:before="0" w:after="283"/>
              <w:jc w:val="left"/>
              <w:rPr/>
            </w:pPr>
            <w:r>
              <w:rPr/>
              <w:t> </w:t>
            </w:r>
          </w:p>
        </w:tc>
      </w:tr>
      <w:tr>
        <w:trPr/>
        <w:tc>
          <w:tcPr>
            <w:tcW w:w="7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Sutter Hill Ventures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651,561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4,380,869</w:t>
            </w:r>
          </w:p>
        </w:tc>
        <w:tc>
          <w:tcPr>
            <w:tcW w:w="65" w:type="dxa"/>
            <w:tcBorders/>
            <w:shd w:fill="CCEEFF" w:val="clear"/>
            <w:vAlign w:val="bottom"/>
          </w:tcPr>
          <w:p>
            <w:pPr>
              <w:pStyle w:val="TableContents"/>
              <w:bidi w:val="0"/>
              <w:spacing w:before="0" w:after="283"/>
              <w:jc w:val="left"/>
              <w:rPr/>
            </w:pPr>
            <w:r>
              <w:rPr/>
              <w:t> </w:t>
            </w:r>
          </w:p>
        </w:tc>
      </w:tr>
      <w:tr>
        <w:trPr/>
        <w:tc>
          <w:tcPr>
            <w:tcW w:w="724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 Management and Research</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4,461,895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30,000,001</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Series D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May 2022, we sold an aggregate of 8,288,121 shares of Series D Preferred Stock at a purchase price of $20.339 per share, for an aggregate purchase price of approximately $168.6 million. The following table summarizes purchases of our Series D Preferred Stock by our directors and beneficial owners of more than 5% of our capital stock and their affiliated entities. Other than as set forth below, none of our directors or executive officers purchased shares of our Series D Preferred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2"/>
        <w:gridCol w:w="133"/>
        <w:gridCol w:w="60"/>
        <w:gridCol w:w="991"/>
        <w:gridCol w:w="60"/>
        <w:gridCol w:w="133"/>
        <w:gridCol w:w="141"/>
        <w:gridCol w:w="1350"/>
        <w:gridCol w:w="65"/>
      </w:tblGrid>
      <w:tr>
        <w:trPr/>
        <w:tc>
          <w:tcPr>
            <w:tcW w:w="727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2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33" w:type="dxa"/>
            <w:tcBorders/>
            <w:vAlign w:val="bottom"/>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Series D</w:t>
              <w:br/>
              <w:t>Preferred</w:t>
              <w:br/>
              <w:t>Stock</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w:t>
              <w:br/>
              <w:t>Purchase Price</w:t>
            </w:r>
          </w:p>
        </w:tc>
        <w:tc>
          <w:tcPr>
            <w:tcW w:w="65" w:type="dxa"/>
            <w:tcBorders/>
            <w:vAlign w:val="bottom"/>
          </w:tcPr>
          <w:p>
            <w:pPr>
              <w:pStyle w:val="TableContents"/>
              <w:bidi w:val="0"/>
              <w:spacing w:before="0" w:after="283"/>
              <w:jc w:val="left"/>
              <w:rPr/>
            </w:pPr>
            <w:r>
              <w:rPr/>
              <w:t> </w:t>
            </w:r>
          </w:p>
        </w:tc>
      </w:tr>
      <w:tr>
        <w:trPr/>
        <w:tc>
          <w:tcPr>
            <w:tcW w:w="7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Sutter Hill Ventures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1,766,833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35,935,749</w:t>
            </w:r>
          </w:p>
        </w:tc>
        <w:tc>
          <w:tcPr>
            <w:tcW w:w="65" w:type="dxa"/>
            <w:tcBorders/>
            <w:shd w:fill="CCEEFF" w:val="clear"/>
            <w:vAlign w:val="bottom"/>
          </w:tcPr>
          <w:p>
            <w:pPr>
              <w:pStyle w:val="TableContents"/>
              <w:bidi w:val="0"/>
              <w:spacing w:before="0" w:after="283"/>
              <w:jc w:val="left"/>
              <w:rPr/>
            </w:pPr>
            <w:r>
              <w:rPr/>
              <w:t> </w:t>
            </w:r>
          </w:p>
        </w:tc>
      </w:tr>
      <w:tr>
        <w:trPr/>
        <w:tc>
          <w:tcPr>
            <w:tcW w:w="7272"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 Management and Research</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5,278,348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50" w:type="dxa"/>
            <w:tcBorders/>
            <w:vAlign w:val="bottom"/>
          </w:tcPr>
          <w:p>
            <w:pPr>
              <w:pStyle w:val="TableContents"/>
              <w:bidi w:val="0"/>
              <w:spacing w:before="0" w:after="283"/>
              <w:jc w:val="right"/>
              <w:rPr/>
            </w:pPr>
            <w:r>
              <w:rPr/>
              <w:t>107,356,401</w:t>
            </w:r>
          </w:p>
        </w:tc>
        <w:tc>
          <w:tcPr>
            <w:tcW w:w="65" w:type="dxa"/>
            <w:tcBorders/>
            <w:vAlign w:val="bottom"/>
          </w:tcPr>
          <w:p>
            <w:pPr>
              <w:pStyle w:val="TableContents"/>
              <w:bidi w:val="0"/>
              <w:spacing w:before="0" w:after="283"/>
              <w:jc w:val="left"/>
              <w:rPr/>
            </w:pPr>
            <w:r>
              <w:rPr/>
              <w:t> </w:t>
            </w:r>
          </w:p>
        </w:tc>
      </w:tr>
      <w:tr>
        <w:trPr/>
        <w:tc>
          <w:tcPr>
            <w:tcW w:w="72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Entity affiliated with Stefan A. Dyckerhoff</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8,860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180,204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Secondary Sales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2021 Secondary Sales </w:t>
      </w:r>
    </w:p>
    <w:p>
      <w:pPr>
        <w:pStyle w:val="TextBody"/>
        <w:bidi w:val="0"/>
        <w:spacing w:before="120" w:after="0"/>
        <w:jc w:val="both"/>
        <w:rPr>
          <w:rFonts w:ascii="Times New Roman" w:hAnsi="Times New Roman"/>
          <w:sz w:val="20"/>
        </w:rPr>
      </w:pPr>
      <w:r>
        <w:rPr>
          <w:rFonts w:ascii="Times New Roman" w:hAnsi="Times New Roman"/>
          <w:sz w:val="20"/>
        </w:rPr>
        <w:t xml:space="preserve">On November 23, 2021, certain of our employee-holders, each individually, entered into common stock purchase agreements with certain other holders of our capital stock, including entities affiliated with Sutter Hill Ventures, pursuant to which they sold to entities affiliated with Sutter Hill Ventures 373,332 shares of our common stock to the purchasing stockholders at a purchase price of $6.7236 per share. All shares of our common stock which were sold in such secondary transactions were then exchanged for shares of our Series C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2022 Secondary Sales </w:t>
      </w:r>
    </w:p>
    <w:p>
      <w:pPr>
        <w:pStyle w:val="TextBody"/>
        <w:bidi w:val="0"/>
        <w:spacing w:before="120" w:after="0"/>
        <w:jc w:val="both"/>
        <w:rPr>
          <w:rFonts w:ascii="Times New Roman" w:hAnsi="Times New Roman"/>
          <w:sz w:val="20"/>
        </w:rPr>
      </w:pPr>
      <w:r>
        <w:rPr>
          <w:rFonts w:ascii="Times New Roman" w:hAnsi="Times New Roman"/>
          <w:sz w:val="20"/>
        </w:rPr>
        <w:t xml:space="preserve">On May 27, 2022, Mohan &amp; Samant 2022 Living Trust dated 3/29/2022, a trust affiliated with our Co-Founder and Chief Executive Officer, Jitendra Mohan (the Mohan Trust), Navad Trust dated November 1, 2012, a trust affiliated with our Co-Founder, President, and Chief Operating Officer, Sanjay Gajendra (the Gajendra Trust), the Tate 1997 Living Trust dated 04/24/1997, a trust affiliated with our Chief Financial Officer, Michael Tate (the Tate Trust), and other employees, each individually, entered into secondary stock purchase agreements with certain other holders of our capital stock, including entities affiliated with Fidelity Management &amp; Research Company LLC and Sutter Hill Ventures, pursuant to which they sold shares of our common stock to the purchasing stockholders at a purchase price of $20.34 per share. Shares of common stock sold in these secondary sales were exchanged for shares of our Series D Preferred Stock, shares of Series A Preferred Stock sold in these secondary sales were exchanged for shares of our Series A-1 Preferred Stock and shares of Series B Preferred Stock sold in these secondary sales were exchanged for shares of our Series B-1 Preferred Stock, each concurrently with the closing of the applicable secondary sale. In total, the Mohan Trust sold 914,100 shares of Series A Preferred Stock and 149,165 shares of Series B Preferred Stock for an aggregate price of approximately $21.6 million; the Gajendra Trust sold 401,444 shares of common stock, 490,194 shares of Series A Preferred Stock and 89,932 shares of Series B Preferred Stock for an aggregate price of approximately $20 million; and the Tate Trust sold 13,043 shares of Series A Preferred Stock and 165,623 shares of Series B Preferred Stock for an aggregate price of approximately $3.6 million. As part of these sales, the Mohan Trust and the Gajendra Trust sold an aggregate of 2,044,835 shares of our common stock, Series A Preferred Stock, and Series B Preferred Stock to entities affiliated with Fidelity Management &amp; Research Company LLC, and the Tate Trust sold 178,666 shares of our Series A Preferred Stock and Series B Preferred Stock to entities affiliated with Sutter Hill Ventures.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an amended and restated investors rights agreement, dated as of May 17, 2022 (the Investors Rights Agreement), that provides, among other things, certain holders of our capital stock, including entities affiliated with Sutter Hill Ventures and Fidelity Management and Research, the Mohan Trust, the Gajendra Trust, the Tate Trust, and Alba 2003 Living Trust, Casa Alameda 2007, LLC, and MAR 2011 Childrens Trust, which are trusts affiliated with our Director, Manuel Alba (collectively, the Alba Trust), with registration rights. See the section titled Description of Capital StockRegistration Rights for more information regarding these registration rights. In addition, pursuant to the Investors Rights Agreement, certain of our holders of capital stock, including the Tate Trust and the Alba Trust, are also entitled to board observer rights, subject to certain continued ownership thresholds. Such board observer rights will automatically terminate upon the completion of this offering. Pursuant to that certain Amended and Restated Side Letter Agreement dated as of May 17, 2022, certain entities affiliated with Fidelity Management and Research are also entitled to board observer rights. Such board observer rights will automatically terminate upon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Right of First Refusal </w:t>
      </w:r>
    </w:p>
    <w:p>
      <w:pPr>
        <w:pStyle w:val="TextBody"/>
        <w:bidi w:val="0"/>
        <w:spacing w:before="120" w:after="0"/>
        <w:jc w:val="both"/>
        <w:rPr>
          <w:rFonts w:ascii="Times New Roman" w:hAnsi="Times New Roman"/>
          <w:sz w:val="20"/>
        </w:rPr>
      </w:pPr>
      <w:r>
        <w:rPr>
          <w:rFonts w:ascii="Times New Roman" w:hAnsi="Times New Roman"/>
          <w:sz w:val="20"/>
        </w:rPr>
        <w:t xml:space="preserve">Pursuant to our equity incentive plans, and certain agreements with our stockholders, including the Investors Rights Agreement and an amended and restated right of first refusal and co-sale agreement with certain holders of our capital stock, including entities affiliated with Sutter Hill Ventures and Fidelity Management and Research, the Mohan Trust, the Gajendra Trust, the Tate Trust, and the Alba Trust, we or our assignees have a right to purchase shares of our capital stock that certain stockholders propose to sell to other parties. This right will terminate upon completion of this offering. Since January 1, 2020, we have waived, exercised, or assigned our right of first refusal in connection with the sale of certain shares of our capital stock, including with respect to sales by or to certain of our executive officers and directors. See the section titled Principal and Selling Stockholders for additional information regarding beneficial ownership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an amended and restated voting agreement under which certain holders of our capital stock, including entities affiliated with Sutter Hill Ventures and Fidelity Management and Research, the Mohan Trust, the Gajendra Trust, the Tate Trust, and the Alba Trust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Option Exercises </w:t>
      </w:r>
    </w:p>
    <w:p>
      <w:pPr>
        <w:pStyle w:val="TextBody"/>
        <w:bidi w:val="0"/>
        <w:spacing w:before="120" w:after="0"/>
        <w:jc w:val="both"/>
        <w:rPr>
          <w:rFonts w:ascii="Times New Roman" w:hAnsi="Times New Roman"/>
          <w:sz w:val="20"/>
        </w:rPr>
      </w:pPr>
      <w:r>
        <w:rPr>
          <w:rFonts w:ascii="Times New Roman" w:hAnsi="Times New Roman"/>
          <w:sz w:val="20"/>
        </w:rPr>
        <w:t xml:space="preserve">On March 14, 2022, Philip Mazzara exercised stock options for 250,000 shares of our common stock that had been previously granted to him at an exercise price of $1.76 per share, for an aggregate exercise price of $440,000. </w:t>
      </w:r>
    </w:p>
    <w:p>
      <w:pPr>
        <w:pStyle w:val="TextBody"/>
        <w:bidi w:val="0"/>
        <w:spacing w:before="360" w:after="0"/>
        <w:jc w:val="left"/>
        <w:rPr>
          <w:rFonts w:ascii="Times New Roman" w:hAnsi="Times New Roman"/>
          <w:b/>
          <w:sz w:val="20"/>
        </w:rPr>
      </w:pPr>
      <w:r>
        <w:rPr>
          <w:rFonts w:ascii="Times New Roman" w:hAnsi="Times New Roman"/>
          <w:b/>
          <w:sz w:val="20"/>
        </w:rPr>
        <w:t xml:space="preserve">Other Transactions </w:t>
      </w:r>
    </w:p>
    <w:p>
      <w:pPr>
        <w:pStyle w:val="TextBody"/>
        <w:bidi w:val="0"/>
        <w:spacing w:before="120" w:after="0"/>
        <w:jc w:val="both"/>
        <w:rPr>
          <w:rFonts w:ascii="Times New Roman" w:hAnsi="Times New Roman"/>
          <w:sz w:val="20"/>
        </w:rPr>
      </w:pPr>
      <w:r>
        <w:rPr>
          <w:rFonts w:ascii="Times New Roman" w:hAnsi="Times New Roman"/>
          <w:sz w:val="20"/>
        </w:rPr>
        <w:t xml:space="preserve">We have granted stock options to purchase common stock and RSUs to our executive officers and certain of our directors. See the sections titled Executive Compensation and ManagementNon-Employee Director Compensation for a description of these options and RSUs. In addition, in January and February 2024, we granted 2,704,335, 2,704,335, 87,500, and 37,500 RSUs to our Chief Executive Officer, President, Chief Financial Officer, and General Counsel, respectively, for the purpose of retaining their services in their roles in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and Indemnification of Officers and Directors </w:t>
      </w:r>
    </w:p>
    <w:p>
      <w:pPr>
        <w:pStyle w:val="TextBody"/>
        <w:bidi w:val="0"/>
        <w:spacing w:before="120" w:after="0"/>
        <w:jc w:val="both"/>
        <w:rPr>
          <w:rFonts w:ascii="Times New Roman" w:hAnsi="Times New Roman"/>
          <w:sz w:val="20"/>
        </w:rPr>
      </w:pPr>
      <w:r>
        <w:rPr>
          <w:rFonts w:ascii="Times New Roman" w:hAnsi="Times New Roman"/>
          <w:sz w:val="20"/>
        </w:rPr>
        <w:t xml:space="preserve">We plan to adopt an amended and restated certificate of incorporation in connection with this offering, which will become effective immediately prior to the completion of this offering and which will contain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and officers,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our directors, unlawful payments of dividends or unlawful stock repurchases, or redemptions as provided in Section 174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they derived an improper personal benefit;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our officers, any derivative action by or in the right of the corporation.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and officers of corporations, then the personal liability of our directors and officers will be further limited to the greatest extent permitted by the DGCL.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plan to adopt our second amended and restated bylaws in connection with this offering,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second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second amended and restated bylaws will also provide that we must advance expenses incurred by or on behalf of a director or officer in advance of the final disposition of any action or proceeding, subject to very limited exceptions. </w:t>
      </w:r>
    </w:p>
    <w:p>
      <w:pPr>
        <w:pStyle w:val="TextBody"/>
        <w:bidi w:val="0"/>
        <w:spacing w:before="240" w:after="0"/>
        <w:jc w:val="both"/>
        <w:rPr>
          <w:rFonts w:ascii="Times New Roman" w:hAnsi="Times New Roman"/>
          <w:sz w:val="20"/>
        </w:rPr>
      </w:pPr>
      <w:r>
        <w:rPr>
          <w:rFonts w:ascii="Times New Roman" w:hAnsi="Times New Roman"/>
          <w:sz w:val="20"/>
        </w:rPr>
        <w:t xml:space="preserve">Further, we have entered into or will enter into, prior to the completion of this offering, indemnification agreements with each of our directors and executive officers that may be broader than the specific indemnification provisions contained in the DGCL.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that are included in our amended and restated certificate of incorporation, our second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We will obtain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240" w:after="0"/>
        <w:jc w:val="both"/>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underwriting agreement to be filed as Exhibit 1.1 to this registration statement of which this prospectus forms a part will provide for indemnification by the underwriters of us and our officers, directors, and employees for certain liabilities arising under the Securities Act, or otherwise with respect to information provided by the underwriters specifically for inclusion in the registration statement.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Following the completion of this offering, our audit committee charter will provide that the audit committee has the primary responsibility for reviewing and approving or disapproving related party transactions, which are transactions, arrangements or relationships (or any series of similar transactions, arrangements or relationships)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In determining whether to approve or ratify any such transaction, our audit committee will take into account, among other factors it deems appropriate, (i) whether the transaction is on terms no less favorable than terms generally available to unaffiliated third parties under the same or similar circumstances and (ii) the extent of the related partys interest in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All of the transactions described above were entered into prior to the adoption of this policy. Accordingly, each was approved by disinterested members of our board of directors after making a determination that the transaction was executed on terms no less favorable than those that could have been obtained from an unrelated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285484_14"/>
      <w:bookmarkEnd w:id="17"/>
      <w:r>
        <w:rPr>
          <w:rFonts w:ascii="Times New Roman" w:hAnsi="Times New Roman"/>
          <w:b/>
          <w:sz w:val="20"/>
        </w:rPr>
        <w:t xml:space="preserve">PRINCIPAL AND SELLING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February 15, 2024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of our current executive officers and directors as a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the selling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or entity, or group of affiliated persons or entities, known by us to be the beneficial owner of more than five percent of any class of our voting securities.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warrants that are currently exercisable or exercisable within 60 days of February 15, 2024 and RSUs that would vest based on time-based vesting conditions, assuming any applicable liquidity event condition had been achieved, within 60 days of February 15, 2024 to be beneficially owned by the person holding the option, warrant or RSUs for the purpose of computing the percentage ownership of that person but have not treated them as outstanding for the purpose of computing the percentage ownership of any other person. </w:t>
      </w:r>
    </w:p>
    <w:p>
      <w:pPr>
        <w:pStyle w:val="TextBody"/>
        <w:bidi w:val="0"/>
        <w:spacing w:before="240" w:after="0"/>
        <w:jc w:val="both"/>
        <w:rPr>
          <w:rFonts w:ascii="Times New Roman" w:hAnsi="Times New Roman"/>
          <w:sz w:val="20"/>
        </w:rPr>
      </w:pPr>
      <w:r>
        <w:rPr>
          <w:rFonts w:ascii="Times New Roman" w:hAnsi="Times New Roman"/>
          <w:sz w:val="20"/>
        </w:rPr>
        <w:t xml:space="preserve">We have based percentage ownership of our common stock before this offering on 163,354,409 shares of our common stock outstanding as of February 15, 2024, assuming the conversion of all of our outstanding shares of preferred stock into shares of common stock. Percentage ownership of our common stock after this offering assumes (i) the conversion of all of our outstanding shares of preferred stock into shares of common stock, (ii) our sale of     shares of common stock and the sale of     shares of common stock by the selling stockholders in this offering, and (iii) no exercise by the underwriters of their option to purchase      additional shares of our common stock from us. In addition, the following table does not reflect any shares of common stock that may be purchased in this offering or pursuant to our directed share program described under UnderwritingDirected Share Program.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of each beneficial owner listed in the table below is c/o Astera Labs, Inc., 2901 Tasman Drive, Suite 205, Santa Clara, CA 95054.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0"/>
        <w:gridCol w:w="446"/>
        <w:gridCol w:w="102"/>
        <w:gridCol w:w="1953"/>
        <w:gridCol w:w="60"/>
        <w:gridCol w:w="446"/>
        <w:gridCol w:w="153"/>
        <w:gridCol w:w="1152"/>
        <w:gridCol w:w="275"/>
        <w:gridCol w:w="390"/>
        <w:gridCol w:w="741"/>
        <w:gridCol w:w="742"/>
        <w:gridCol w:w="65"/>
      </w:tblGrid>
      <w:tr>
        <w:trPr/>
        <w:tc>
          <w:tcPr>
            <w:tcW w:w="368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2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 Owned</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br/>
              <w:t>Outstanding</w:t>
              <w:br/>
              <w:t>Before</w:t>
              <w:br/>
              <w:t>Offering</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br/>
              <w:t>Outstanding</w:t>
              <w:br/>
              <w:t>After Offering</w:t>
            </w:r>
          </w:p>
        </w:tc>
        <w:tc>
          <w:tcPr>
            <w:tcW w:w="65"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9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Sutter Hill Ventures(1)</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22,404,937</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13.7</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Fidelity Management and Research(2)</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11,383,635</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7.0</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9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Jitendra Mohan(3)</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10,842,603</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Sanjay Gajendra(4)</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8,855,545</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Tate(5)</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1,924,519</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Philip Mazzara(6)</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261,615</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Manuel Alba(7)</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5,465,536</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Stefan Dyckerhoff (8)</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22,404,937</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13.7</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Hurlston(9)</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Jack Lazar(10)</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(8 persons)(11)</w:t>
            </w:r>
          </w:p>
        </w:tc>
        <w:tc>
          <w:tcPr>
            <w:tcW w:w="44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48,094,755</w:t>
            </w:r>
          </w:p>
        </w:tc>
        <w:tc>
          <w:tcPr>
            <w:tcW w:w="6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29.4</w:t>
            </w:r>
          </w:p>
        </w:tc>
        <w:tc>
          <w:tcPr>
            <w:tcW w:w="275"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44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9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less than one percent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a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16,761,590 shares of common stock directly owned of Sutter Hill Ventures, a California Limited Partnership (SHV); (ii) 210,013 shares of common stock held by SHM Investments, LLC (SHM); and (iii) an aggregate of 5,433,334 shares of common stock of which (a) 2,244,488 shares of common stock are held by entities controlled by members of the management committee (Management Committee) of the general partner of SHV, including 229,883 shares of common stock beneficially owned by Stefan A. Dyckerhoff described in Footnote (8), and (b) 3,188,846 shares of common stock held by other individuals and entities affiliated with SHV over which certain individuals associated with SHV have voting or investment power under a power of attorney (POA). The POA will no longer confer the right to vote or dispose of the shares following the effectiveness of the registration statement of which this prospectus forms a part. Voting and investment authority over the shares beneficially owned by SHV and SHM are shared by members of the Management Committee, which consists of Mr. Dyckerhoff, Samuel J. Pullara III and Michael L. Speiser. The address for SHV is 755 Page Mill Road, Suite A-200, Palo Alto, California 94304.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w:t>
            </w:r>
          </w:p>
        </w:tc>
        <w:tc>
          <w:tcPr>
            <w:tcW w:w="96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228,886 shares of common stock held by FIAM Target Date Blue Chip Growth Commingled Pool; 124,184 shares of common stock held by Fidelity Blue Chip Growth Commingled Pool; 8,061 shares of common stock held by Fidelity Blue Chip Growth Institutional Trust; 1,838,591 shares of common stock held by Fidelity Growth Company Commingled Pool; 70,350 shares of common stock held by Fidelity Advisor Series I: Fidelity Advisor Balanced Fund  Information Technology Sub; 89,460 shares of common stock held by Fidelity Advisor Series VII: FA Semiconductors Lead Sub; 447,653 shares of common stock held by Fidelity Advisor Series VII: Fidelity Advisor Technology Fund; 226,980 shares of common stock held by Fidelity Canadian Growth Company Fund; 102,816 shares of common stock held by Fidelity Devonshire Trust: Fidelity Series All-Sector Equity Fund  Information Technology Sub; 406,434 shares of common stock held by Fidelity Global Innovators Investment Trust; 370,145 shares of common stock held by Fidelity Mt. Vernon Street Trust: Fidelity Growth Company K6 Fund; 1,628,064 shares of common stock held by Fidelity Mt. Vernon Street Trust: Fidelity Growth Company Fund; 382,012 shares of common stock held by Fidelity Mt. Vernon Street Trust: Fidelity Series Growth Company Fund; 473,600 shares of common stock held by Fidelity Puritan Trust: Fidelity Balanced Fund  Information Technology Sub; 9,300 shares of common stock held by Fidelity Puritan Trust: Fidelity Balanced K6 Fund  Information Technology Sub-portfolio; 2,491,652 shares of common stock held by Fidelity Securities Fund: Fidelity Blue Chip Growth Fund; 305,326 shares of common stock held by Fidelity Securities Fund: Fidelity Blue Chip Growth K6 Fund; 796,708 shares of common stock held by Fidelity Select Portfolios: Select Semiconductors Lead Sub; 1,099,520 shares of common stock held by Fidelity Select Portfolios: Select Technology Portfolio; 40,200 shares of common stock held by Fidelity Special Situations Fund; 1,850 shares of common stock held by FMR Capital, Inc., Flex Pilot Portfolio; 77,929 shares of common stock held by Variable Insurance Products Fund III: VIP Balanced Portfolio  Information Technology Sub; and 163,914 shares of common stock held by Variable Insurance Products Fund IV: VIP Technology Portfolio. All of the securities listed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8,342,603 shares of common stock held estate planning trusts of which Mr. Mohan is a trustee, 1,750,000 of which are held in estate planning trusts of which our President may also be deemed to have voting and dispositive power, and 2,750,000 shares held in estate planning trusts over Mr. Mohan may be deemed to have voting and dispositive power.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7,105,545 shares of common stock held in an estate planning trust of which Mr. Gajendra is a trustee and 1,750,000 shares held in estate planning trusts over Mr. Gajendra may be deemed to have voting and dispositive power, of which our Chief Executive Officer is the trustee.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981,989 shares of common stock held by Mr. Tate and 879,108 shares of common stock held by the Tate 1997 Living Trust dated April 24, 1997 and (ii) 63,422 shares of common stock subject to outstanding RSUs that would vest based on time-based vesting conditions, assuming any applicable liquidity event condition had been achieved, within 60 days of February 15, 2024.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250,000 shares of common stock and (ii) 11,615 shares of common stock subject to outstanding RSUs that would vest based on time-based vesting conditions, assuming any applicable liquidity event condition had been achieved, within 60 days of February 15, 2024.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2,314,498 shares of common stock held by the Alba 2003 Living Trust; 2,632,175 shares of common stock held by the Mar 2011 Childrens Trust; and 518,863 shares of common stock held by Casa Alameda 2007, LLC.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(i) 16,503 shares of common stock held by Bear Creek Trust u/a/d 8/30/2001, of which Mr. Dyckerhoff is a trustee; (ii) 9,936 shares of common stock held by The Flowers, L.P., for which Mr. Dyckerhoff is a trustee of the trust which is the general partner; (iii) 23,827 shares of common stock held by The Dyckerhoff 2020 Irrevocable Trust, of which Mr. Dyckerhoff is a trustee; (iv) 179,617 shares of common stock held by Principal Bank FBO Stefan A. Dyckerhoff Roth IRA, Mr. Dyckerhoffs Roth IRA account; and (v) the remaining 22,175,054 shares held by the individuals and entities affiliated with SHV as described in footnote (1) above.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40,000 shares of common stock subject to outstanding options that are exercisable within 60 days of February 15, 2024 and (ii) 25,000 shares of common stock subject to outstanding RSUs that would vest based on time-based vesting conditions, assuming any applicable liquidity event condition had been achieved, within 60 days of February 15, 2024.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25,000 shares of common stock subject to outstanding RSUs that would vest based on time-based vesting conditions, assuming any applicable liquidity event condition had been achieved, within 60 days of February 15, 2024.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25,565,111 shares of common stock; (ii) 40,000 shares of common stock subject to outstanding options that are exercisable within 60 days of February 15, 2024; and (iii) 128,475 shares of common stock subject to outstanding RSUs that would vest based on time-based vesting conditions, assuming any applicable liquidity event condition had been achieved, within 60 days of February 15,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285484_15"/>
      <w:bookmarkEnd w:id="18"/>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description summarizes the most important terms of our capital stock, as they are expected to be in effect upon the completion of this offering. We plan to adopt an amended and restated certificate of incorporation and second amended and restated bylaws in connection with this offering, each of which will become effective immediately prior to the completion of this offering, and this description summarizes the provisions that are included in those documents. Because it is only a summary, it does not contain all the information that may be important to you. For a complete description of the matters that are summarized in this section titled Description of Capital Stock, you should refer to our amended and restated certificate of incorporation and second amended and restated bylaws and our Amended and Restated Investors Rights Agreement, which are included as exhibits to the registration statement of which this prospectus forms a part, and to the applicable provisions of Delaware law. </w:t>
      </w:r>
    </w:p>
    <w:p>
      <w:pPr>
        <w:pStyle w:val="TextBody"/>
        <w:bidi w:val="0"/>
        <w:spacing w:before="240" w:after="0"/>
        <w:jc w:val="both"/>
        <w:rPr>
          <w:rFonts w:ascii="Times New Roman" w:hAnsi="Times New Roman"/>
          <w:sz w:val="20"/>
        </w:rPr>
      </w:pPr>
      <w:r>
        <w:rPr>
          <w:rFonts w:ascii="Times New Roman" w:hAnsi="Times New Roman"/>
          <w:sz w:val="20"/>
        </w:rPr>
        <w:t xml:space="preserve">Immediately following the completion of this offering, our authorized capital stock will consist of 1,000,000,000 shares of common stock, $0.0001 par value per share, and 100,000,000 shares of undesignated preferred stock, $0.0001 par value per share.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2023, assuming the conversion of our outstanding shares of convertible preferred stock to occur immediately prior to the completion of this offering, there would have been 132,936,530 outstanding shares of our common stock, held by 132 stockholders of record, and no shares of preferred stock outstanding. Our board of directors is authorized, without stockholder approval except as required by the listing standards of Nasdaq, to issue additional shares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both"/>
        <w:rPr>
          <w:rFonts w:ascii="Times New Roman" w:hAnsi="Times New Roman"/>
          <w:sz w:val="20"/>
        </w:rPr>
      </w:pPr>
      <w:r>
        <w:rPr>
          <w:rFonts w:ascii="Times New Roman" w:hAnsi="Times New Roman"/>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We will not provide for cumulative voting for the election of directors in our amended and restated certificate of incorporation.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both"/>
        <w:rPr>
          <w:rFonts w:ascii="Times New Roman" w:hAnsi="Times New Roman"/>
          <w:sz w:val="20"/>
        </w:rPr>
      </w:pPr>
      <w:r>
        <w:rPr>
          <w:rFonts w:ascii="Times New Roman" w:hAnsi="Times New Roman"/>
          <w:sz w:val="20"/>
        </w:rPr>
        <w:t xml:space="preserve">Our common stock is not entitled to preemptive rights and is not subject to conversion,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to Receive Liquidation Distributions </w:t>
      </w:r>
    </w:p>
    <w:p>
      <w:pPr>
        <w:pStyle w:val="TextBody"/>
        <w:bidi w:val="0"/>
        <w:spacing w:before="120" w:after="0"/>
        <w:jc w:val="both"/>
        <w:rPr>
          <w:rFonts w:ascii="Times New Roman" w:hAnsi="Times New Roman"/>
          <w:sz w:val="20"/>
        </w:rPr>
      </w:pPr>
      <w:r>
        <w:rPr>
          <w:rFonts w:ascii="Times New Roman" w:hAnsi="Times New Roman"/>
          <w:sz w:val="20"/>
        </w:rPr>
        <w:t xml:space="preserve">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both"/>
        <w:rPr>
          <w:rFonts w:ascii="Times New Roman" w:hAnsi="Times New Roman"/>
          <w:sz w:val="20"/>
        </w:rPr>
      </w:pPr>
      <w:r>
        <w:rPr>
          <w:rFonts w:ascii="Times New Roman" w:hAnsi="Times New Roman"/>
          <w:sz w:val="20"/>
        </w:rPr>
        <w:t xml:space="preserve">All of the shares of our common stock to be issued pursuant to this offering will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Following this offering, our board of directors will be authorized, subject to limitations prescribed by Delaware law, to issue preferred stock in one or more classes, to establish from time to time the number of shares to be included in each class and to fix the designation, powers, preferences, and rights of the shares of each class and any of its qualifications, limitations, or restrictions, in each case without further vote or action by our stockholders.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2023, we had outstanding options to purchase an aggregate of 10,058,536 shares of our common stock with a weighted-average exercise price of $0.84 per share pursuant to our 2018 Plan, which was adopted in March 2018 and most recently amended by our board of directors in November 2019.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Units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2023, we had 8,582,971 outstanding RSUs representing 8,582,971 shares of our common stock issued pursuant to our 2018 Plan.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2023, there were outstanding warrants to purchase an aggregate of 2,442,360 shares of our common stock with a weighted-average exercise price of $19.30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certain holders of our common stock will be entitled to rights with respect to the registration of their shares under the Securities Act. These registration rights are contained in our Investors Rights Agreement. We, along with certain holders of our common stock, are parties to the Investors Rights Agreement. The registration rights set forth in the Investors Rights Agreement will expire upon the earlier of five years following the completion of this offering, or, with respect to any particular stockholder, following the completion of this offering, when such stockholder is able to sell all of its shares pursuant to Rule 144 of the Securities Act without any volume limitations.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 In connection with this offering, each stockholder that has registration rights will agree not to sell or otherwise dispose of any securities without the prior written consent of Morgan Stanley and J.P. Morgan for a period of up to 180 days after the date of this prospectus, subject to certain terms and conditions. See the section titled Underwriting for more information regarding such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Demand Registration Rights on Form S-1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the holders of up to approximately    shares of our common stock will be entitled to certain demand registration rights. At any time beginning 180 days after the completion of this offering, the holders of a majority of these shares then outstanding may request that we register the offer and sale of their shares on a registration statement on Form S-1, so long as the request covers at least 30% of these shares then outstanding, or a lesser percentage if the anticipated aggregate offering price, net of selling expenses, is at least $20.0 million, subject to certain limitations. Following this initial registration, the holders of 30% or more of the shares then outstanding may request that we register at least 20% of these shares then outstanding, or a lesser percentage if the anticipate aggregate offering price, net of underwriting discounts and commissions, is at least $5.0 million. We are obligated to effect only two such registrations in the aggregate. If we determine that it would be seriously detrimental to us and our stockholders to affect such a demand registration, we have the right to defer such registration, not more than once in any 12-month period, for a period of not more than 90 days. Additionally, we will not be required to effect a demand registration on Form S-1 during the period beginning 90 days before our good faith estimate of the filing of, and ending on the date 180 days following the effectiveness of, a registration statement on Form S-1 relating to the public offering of our common stock. Additionally, we will not be required to effect a demand registration on Form S-1 if the requesting stockholders propose to dispose of shares of our common stock that may be immediately registered pursuant to a demand registration on Form S-3 (as described in the subsection titled Demand Registration Rights on Form S-3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if we propose to register the offer and sale of our common stock under the Securities Act, in connection with the public offering of such common stock, the holders of up to approximately    shares of our common stock will be entitled to certain piggyback registration rights allowing such holders to include their shares in such registration, subject to certain marketing and other limitations. As a result, whenever we propose to file a registration statement under the Securities Act, other than with respect to (1) a registration relating to a demand right described above or (2) a registration relating to the sale or grant of securities to our employees pursuant to any stock option, stock purchase, equity incentive or similar plan, the holders of these shares are entitled to notice of the registration and have the right, subject to certain limitations, to include their shares in the registration.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on Form S-3 </w:t>
      </w:r>
    </w:p>
    <w:p>
      <w:pPr>
        <w:pStyle w:val="TextBody"/>
        <w:bidi w:val="0"/>
        <w:spacing w:before="120" w:after="0"/>
        <w:jc w:val="both"/>
        <w:rPr>
          <w:rFonts w:ascii="Times New Roman" w:hAnsi="Times New Roman"/>
          <w:sz w:val="20"/>
        </w:rPr>
      </w:pPr>
      <w:r>
        <w:rPr>
          <w:rFonts w:ascii="Times New Roman" w:hAnsi="Times New Roman"/>
          <w:sz w:val="20"/>
        </w:rPr>
        <w:t xml:space="preserve">After the completion of this offering, the holders of up to approximately    shares of our common stock will be entitled to certain Form S-3 registration rights. The holders of any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net of selling expenses, of at least $2.0 million, subject to certain limitations. These stockholders may make an unlimited number of requests for registration on Form S-3; however, we will not be required to affect a registration on Form S-3 if we have affected two such registrations in the 12-month period immediately preceding the date of such request. If we determine that it would be seriously detrimental to our stockholders to affect such a registration, we have the right to defer such registration, not more than once in any 12-month period, for a period of not more than 90 days. Additionally, we will not be required to effect a demand registration on Form S-3 during the period beginning 30 days before our good faith estimate of the filing of, and ending on the date 90 days following the effectiveness of, a registration statement on Form S-3 relating to the public offering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both"/>
        <w:rPr>
          <w:rFonts w:ascii="Times New Roman" w:hAnsi="Times New Roman"/>
          <w:sz w:val="20"/>
        </w:rPr>
      </w:pPr>
      <w:r>
        <w:rPr>
          <w:rFonts w:ascii="Times New Roman" w:hAnsi="Times New Roman"/>
          <w:sz w:val="20"/>
        </w:rPr>
        <w:t xml:space="preserve">Certain provisions of Delaware law, our amended and restated certificate of incorporation and our second amended and restated bylaws, which are summarized below, may have the effect of delaying, deferring, or discouraging another person from acquiring control of our company. They are also designed, in part,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both"/>
        <w:rPr>
          <w:rFonts w:ascii="Times New Roman" w:hAnsi="Times New Roman"/>
          <w:sz w:val="20"/>
        </w:rPr>
      </w:pPr>
      <w:r>
        <w:rPr>
          <w:rFonts w:ascii="Times New Roman" w:hAnsi="Times New Roman"/>
          <w:sz w:val="20"/>
        </w:rPr>
        <w:t xml:space="preserve">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Certificate of Incorporation and Second Amended and Restated Bylaws Provisions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and our second amended and restated bylaws, once effective immediately prior to the completion of this offering, will include a number of provisions that could deter hostile takeovers or delay or prevent changes in control of our board of directors or management team,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Board of Directors Vacancies</w:t>
            </w:r>
            <w:r>
              <w:rPr>
                <w:rFonts w:ascii="Times New Roman" w:hAnsi="Times New Roman"/>
                <w:sz w:val="20"/>
              </w:rPr>
              <w:t xml:space="preserve">. Our amended and restated certificate of incorporation and our second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Classified Board</w:t>
            </w:r>
            <w:r>
              <w:rPr>
                <w:rFonts w:ascii="Times New Roman" w:hAnsi="Times New Roman"/>
                <w:sz w:val="20"/>
              </w:rPr>
              <w:t xml:space="preserve">. Our amended and restated certificate of incorporation and our second amended and restated bylaws will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second amended and restated bylaws or remove directors without holding a meeting of our stockholders called in accordance with our second amended and restated bylaws. Our amended and restated certificate of incorporation will further provide that special meeting of our stockholders may be called only by a majority of our board of directors,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second amended and restated bylaws will provide advance notice procedures for stockholders seeking to bring business before our annual meeting of stockholders or to nominate candidates for election as directors at our annual meeting of stockholders. Our second amended and restated bylaws will also specify certain requirements regarding the form and content of a stockholders notice. These provisions might preclude our stockholders from bringing matters before our annual meeting of stockholders or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will not provide for cumulative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Directors Removed Only for Cause</w:t>
            </w:r>
            <w:r>
              <w:rPr>
                <w:rFonts w:ascii="Times New Roman" w:hAnsi="Times New Roman"/>
                <w:sz w:val="20"/>
              </w:rPr>
              <w:t xml:space="preserve">. Our amended and restated certificate of incorporation will provide that stockholders may remove directors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Amendment of Charter Provisions</w:t>
            </w:r>
            <w:r>
              <w:rPr>
                <w:rFonts w:ascii="Times New Roman" w:hAnsi="Times New Roman"/>
                <w:sz w:val="20"/>
              </w:rPr>
              <w:t xml:space="preserve">. Any amendment of the above provisions in our amended and restated certificate of incorporation will require approval by holders of at least a majority of our then outstanding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Issuance of Undesignated Preferred Stock</w:t>
            </w:r>
            <w:r>
              <w:rPr>
                <w:rFonts w:ascii="Times New Roman" w:hAnsi="Times New Roman"/>
                <w:sz w:val="20"/>
              </w:rPr>
              <w:t xml:space="preserve">. Our board of directors will have the authority, without further action by the stockholders, to issue up to 100,000,000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second amended and restated bylaws will provide that, unless we consent in writing to the selection of an alternative forum, the Court of Chancery of the State of Delaware shall be the sole and exclusive forum for state law claims for (1) any derivative action or proceeding brought on our behalf, (2) any action asserting a claim of, or a claim based on, a breach of a fiduciary duty owed by any of our current or former directors, officers, and employees to us or our stockholders, (3) any action asserting a claim against us, or any current or former director, office or employee of us, arising out of or pursuant to the DGCL, our amended and restated certificate of incorporation or our second amended and restated bylaws or as to which the DGCL confers jurisdiction on the Court of Chancery of the State of Delaware, (4) any action to interpret, apply, enforce, or determine the validity of our amended and restated certificate of incorporation or our second amended and restated bylaws, or (5) any action asserting a claim against us or any current or former director, officer or employee that is governed by the internal affairs doctrine; provided, however, that this provision does not apply to any causes of action arising under the Securities Act or the Exchange Act. In addition, our second amended and restated bylaws will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our securities will be deemed to have notice of and to have consented to these forum provisions. These forum provisions may impose additional litigation costs on stockholders in pursuing any such claims, particularly if the stockholders do not reside in or near the State of Delaware. Additionally, the forum selection clause that will be in our second amended and restated bylaws may limit our stockholders ability to bring a claim in a judicial forum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 state courts have upheld the validity of the federal forum selection provisions purporting to require claims under the Securities Act be brought in federal court, there is uncertainty as to whether other courts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Upon the completion of this offering, the transfer agent and registrar for our common stock will be    . The transfer agents address is     .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both"/>
        <w:rPr>
          <w:rFonts w:ascii="Times New Roman" w:hAnsi="Times New Roman"/>
          <w:sz w:val="20"/>
        </w:rPr>
      </w:pPr>
      <w:r>
        <w:rPr>
          <w:rFonts w:ascii="Times New Roman" w:hAnsi="Times New Roman"/>
          <w:sz w:val="20"/>
        </w:rPr>
        <w:t xml:space="preserve">We have applied to list our common stock on Nasdaq under the symbol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285484_16"/>
      <w:bookmarkEnd w:id="19"/>
      <w:r>
        <w:rPr>
          <w:rFonts w:ascii="Times New Roman" w:hAnsi="Times New Roman"/>
          <w:b/>
          <w:sz w:val="20"/>
        </w:rPr>
        <w:t xml:space="preserve">SHARES ELIGIBLE FOR FUTURE SALE </w:t>
      </w:r>
    </w:p>
    <w:p>
      <w:pPr>
        <w:pStyle w:val="TextBody"/>
        <w:bidi w:val="0"/>
        <w:spacing w:before="240" w:after="0"/>
        <w:jc w:val="both"/>
        <w:rPr>
          <w:rFonts w:ascii="Times New Roman" w:hAnsi="Times New Roman"/>
          <w:sz w:val="20"/>
        </w:rPr>
      </w:pPr>
      <w:r>
        <w:rPr>
          <w:rFonts w:ascii="Times New Roman" w:hAnsi="Times New Roman"/>
          <w:sz w:val="20"/>
        </w:rPr>
        <w:t xml:space="preserve">Prior to this offering, there has been no public market for our common stock, and we cannot predict the effect, if any, that future sales of shares of our common stock or the availability for future sales of shares of our common stock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 </w:t>
      </w:r>
    </w:p>
    <w:p>
      <w:pPr>
        <w:pStyle w:val="TextBody"/>
        <w:bidi w:val="0"/>
        <w:spacing w:before="240" w:after="0"/>
        <w:jc w:val="both"/>
        <w:rPr>
          <w:rFonts w:ascii="Times New Roman" w:hAnsi="Times New Roman"/>
          <w:sz w:val="20"/>
        </w:rPr>
      </w:pPr>
      <w:r>
        <w:rPr>
          <w:rFonts w:ascii="Times New Roman" w:hAnsi="Times New Roman"/>
          <w:sz w:val="20"/>
        </w:rPr>
        <w:t xml:space="preserve">Following the completion of this offering, based on the number of shares of our common stock outstanding as of December 31, 2023, we will have a total of     shares of our common stock outstanding. Of these outstanding shares, all of the shares of common stock sold in this offering by us and the selling stockholders will be freely tradable, except that any shares purchased in this offering by our affiliates, as that term is defined in Rule 144 under the Securities Act, would only be able to be sold in compliance with the Rule 144 limitations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remaining outstanding shares of our common stock will be deemed restricted securities as defined in Rule 144. Restricted securities may be sold in the public market only if they are registered or if they qualify for an exemption from registration under Rule 144 or Rule 701 under the Securities Act, which are summarized below. In addition, all of our executive officers, directors, and holders of substantially all of our common stock and securities convertible into or exchangeable for our common stock have entered into market standoff agreements with us or lock-up agreements, as described in Lock-Up Agreements and Market Standoff Provisions below. Subject to these lock-up agreements and the provisions of Rule 144 under the Securities Act, as well as our insider trading policy, these restricted securities will be available for sale in the public market after the date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these lock-up agreements and subject to the provisions of Rule 144 or 701, these restricted securities will be available for sale in the public market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Earliest Date Available for Sale in the Public Market</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 of Common Stock</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rFonts w:ascii="Times New Roman" w:hAnsi="Times New Roman"/>
                <w:sz w:val="20"/>
              </w:rPr>
            </w:pPr>
            <w:r>
              <w:rPr>
                <w:rFonts w:ascii="Times New Roman" w:hAnsi="Times New Roman"/>
                <w:sz w:val="20"/>
              </w:rPr>
              <w:t>The second trading day immediately following our public release of earnings for the first quarter following the most recent period for which financial statements are included in this prospectus; provided that the closing price of our common stock on Nasdaq is at least 25% greater than the initial public offering price per share set forth on the cover page of this prospectus for the periods described in the section titled Underwriting.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both"/>
              <w:rPr>
                <w:rFonts w:ascii="Times New Roman" w:hAnsi="Times New Roman"/>
                <w:sz w:val="20"/>
              </w:rPr>
            </w:pPr>
            <w:r>
              <w:rPr>
                <w:rFonts w:ascii="Times New Roman" w:hAnsi="Times New Roman"/>
                <w:sz w:val="20"/>
              </w:rPr>
              <w:t>Up to      shares. Includes shares held by our current employees (excluding current executive officers and directors, including our founders). Includes all available for sale shares described above. Excludes securities held by affiliates for the purposes of Rule 144.</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rFonts w:ascii="Times New Roman" w:hAnsi="Times New Roman"/>
                <w:sz w:val="20"/>
              </w:rPr>
            </w:pPr>
            <w:r>
              <w:rPr>
                <w:rFonts w:ascii="Times New Roman" w:hAnsi="Times New Roman"/>
                <w:sz w:val="20"/>
              </w:rPr>
              <w:t>The later of (i) the opening of trading on the second trading day immediately following our public release of earnings for the second quarter following the most recent period for which financial statements are included in this prospectus and (ii) the 180th day after the date of this prospectus (assuming that as of such date we have publicly released our earnings for the second quarter following the most recent period for which financial statements are included in this prospectus).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both"/>
              <w:rPr>
                <w:rFonts w:ascii="Times New Roman" w:hAnsi="Times New Roman"/>
                <w:sz w:val="20"/>
              </w:rPr>
            </w:pPr>
            <w:r>
              <w:rPr>
                <w:rFonts w:ascii="Times New Roman" w:hAnsi="Times New Roman"/>
                <w:sz w:val="20"/>
              </w:rPr>
              <w:t>All remaining shares held by our stockholders not previously eligible for sale, subject to volume limitations applicable to affiliates under Rule 144 as described below.</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and Market Standoff Provisions </w:t>
      </w:r>
    </w:p>
    <w:p>
      <w:pPr>
        <w:pStyle w:val="TextBody"/>
        <w:bidi w:val="0"/>
        <w:spacing w:before="120" w:after="0"/>
        <w:jc w:val="both"/>
        <w:rPr>
          <w:rFonts w:ascii="Times New Roman" w:hAnsi="Times New Roman"/>
          <w:sz w:val="20"/>
        </w:rPr>
      </w:pPr>
      <w:r>
        <w:rPr>
          <w:rFonts w:ascii="Times New Roman" w:hAnsi="Times New Roman"/>
          <w:sz w:val="20"/>
        </w:rPr>
        <w:t xml:space="preserve">We, our directors and executive officers, and certain holders of our common stock and securities exercisable for or convertible into our common stock, including the selling stockholders, have or will sign lock-up agreements that, without the prior written consent of Morgan Stanley and J.P. Morgan on behalf of the underwriters, state that we and they will not, in accordance with the terms of such agreements, during the period ending on the earlier of (i) the opening of trading on the second trading day immediately following our public release of earnings for the second quarter following the most recent period for which financial statements are included in this prospectus and (ii) the 180th day after the date of this prospectus (assuming that as of such date we have publicly released our earnings for the second quarter following the most recent period for which financial statements are included in this prospectus) (such period,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any shares of common stock and securities convertible into or exercisable or exchangeable for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our common stock, whether any such transaction described above is to be settled by delivery of our common stock or such other securities, in cash or otherwise.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up to      shares of our outstanding common stock and securities directly or indirectly convertible into or exchangeable or exercisable for our common stock held by our current employees and service providers (excluding current executive officers and directors, including our founders) may be sold beginning at the opening of trading on the second trading day immediately following our public release of earnings for the first quarter following the most recent period for which financial statements are included in this prospectus (such release, our earnings release); provided, that the last reported closing price of our common stock on Nasdaq is at least 25% greater than the initial public offering price per share set forth on the cover of this prospectus for any five trading days out of the 10 consecutive full trading day period ending on the closing of the first full trading day immediately following our earnings release. The lock-up agreements described above are subject to a number of exceptions, including sales of shares on the open market to cover taxes or estimated taxes due as a result of vesting or settlement of RSUs during the restricted period. </w:t>
      </w:r>
    </w:p>
    <w:p>
      <w:pPr>
        <w:pStyle w:val="TextBody"/>
        <w:bidi w:val="0"/>
        <w:spacing w:before="240" w:after="0"/>
        <w:jc w:val="both"/>
        <w:rPr>
          <w:rFonts w:ascii="Times New Roman" w:hAnsi="Times New Roman"/>
          <w:sz w:val="20"/>
        </w:rPr>
      </w:pPr>
      <w:r>
        <w:rPr>
          <w:rFonts w:ascii="Times New Roman" w:hAnsi="Times New Roman"/>
          <w:sz w:val="20"/>
        </w:rPr>
        <w:t xml:space="preserve">Upon the expiration of the restricted period, substantially all of the securities subject to such transfer restrictions will become eligible for sale, subject to the limitations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general, under Rule 144, as currently in effect, our affiliates or persons selling shares on behalf of our affiliates are entitled to sell upon expiration of the lock-up agreements and market standoff agreements described above.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after the completion of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weekly trading volume of our common stock during the four calendar weeks preceding the filing of a notice on Form 144 with respect to that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Rule 701, as currently in effect,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Investors Rights Agreement, the holders of up to     shares of our common stock and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Statement on Form S-8 </w:t>
      </w:r>
    </w:p>
    <w:p>
      <w:pPr>
        <w:pStyle w:val="TextBody"/>
        <w:bidi w:val="0"/>
        <w:spacing w:before="120" w:after="0"/>
        <w:jc w:val="both"/>
        <w:rPr>
          <w:rFonts w:ascii="Times New Roman" w:hAnsi="Times New Roman"/>
          <w:sz w:val="20"/>
        </w:rPr>
      </w:pPr>
      <w:r>
        <w:rPr>
          <w:rFonts w:ascii="Times New Roman" w:hAnsi="Times New Roman"/>
          <w:sz w:val="20"/>
        </w:rPr>
        <w:t xml:space="preserve">We intend to file a registration statement on Form S-8 under the Securities Act to register all of the shares of our common stock issued or reserved for issuance under our 2018 Plan, our 2024 Plan, and our ESPP.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 December 31, 2023, RSUs and options to purchase a total of 18,641,507 shares of our common stock pursuant to our 2018 Plan were outstanding and no options or other equity awards were outstanding or exercisable under our 2024 Plan or our ESPP.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285484_17"/>
      <w:bookmarkEnd w:id="20"/>
      <w:r>
        <w:rPr>
          <w:rFonts w:ascii="Times New Roman" w:hAnsi="Times New Roman"/>
          <w:b/>
          <w:sz w:val="20"/>
        </w:rPr>
        <w:t xml:space="preserve">MATERIAL U.S. FEDERAL INCOME TAX CONSEQUENCES TO NON-U.S.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OUR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a general discussion of certain material U.S. federal income tax consequences relating to the ownership and disposition of our common stock by a non-U.S. holder. For purposes of this discussion, the term non-U.S. holder means a beneficial owner of our common stock that is not,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of any political subdivision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below. We have not sought and will not seek any rulings from the Internal Revenue Service (the IRS) regarding the matters discussed below. There can be no assurance that the IRS will not challenge one or more of the tax consequences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We assume in this discussion that each non-U.S. holder holds shares of our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or U.S. federal taxes other than income taxes (e.g., estate or gift taxes). This discussion also does not consider any specific facts or circumstances that may apply to a non-U.S. holder and does not address the special tax rules applicable to particular non-U.S. holders,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that hold our common stock as part of a straddle, hedge, conversion transaction, synthetic security, or other integrated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own, or are deemed to own, more than five percent of our common stock (except to the extent specifically set forth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U.S. expatriates or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have elected to mark their securities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who acquire our common stock pursuant to the exercise of any option or as compensation for services;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common stock being taken into account in an applicable financial statement as defined in Section 451(b) of the Code.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this discussion does not address the tax treatment of partnerships (including any entity or arrangement treated as a partnership for U.S. federal income tax purposes) or other entities that are transparent for U.S. federal income tax purposes or persons who hold their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that holds our common stock or who holds our common stock through another transparent entity should consult his, her, or its own tax advisor regarding the tax consequences of the ownership and disposition of our common stock through the partnership or other transparent entity, as applicable. </w:t>
      </w:r>
    </w:p>
    <w:p>
      <w:pPr>
        <w:pStyle w:val="TextBody"/>
        <w:bidi w:val="0"/>
        <w:spacing w:before="240" w:after="0"/>
        <w:jc w:val="both"/>
        <w:rPr>
          <w:rFonts w:ascii="Times New Roman" w:hAnsi="Times New Roman"/>
          <w:sz w:val="20"/>
        </w:rPr>
      </w:pPr>
      <w:r>
        <w:rPr>
          <w:rFonts w:ascii="Times New Roman" w:hAnsi="Times New Roman"/>
          <w:sz w:val="20"/>
        </w:rPr>
        <w:t xml:space="preserve">Prospective investors should consult their own tax advisors regarding the U.S. federal, state, or local income tax considerations, and non-U.S. income and other tax considerations, of acquiring, holding, and disposing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do not currently expect to pay any dividends. See the section titled Dividend Policy. However, in the event that we do pay distributions of cash or property on our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a non-U.S. holders investment, up to such holders tax basis in our common stock. Any remaining excess will be treated as capital gain, subject to the tax treatment described below under the heading Gain on Sale, Exchange, or Other Taxable Disposition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the applicable withholding agent are unable to determine, at a time reasonably close to the date of payment of a distribution on our common stock, what portion, if any, of the distribution will constitute a dividend, then we or the applicable withholding agent may withhold U.S. federal income tax on the basis of assuming that the full amount of the distribution will be a dividend. If we or another withholding agent apply over-withholding on the basis of such an assumption, the non-U.S. holder may be entitled to a refund or credit of any excess tax withheld by timely filing an appropriate claim with the IRS. </w:t>
      </w:r>
    </w:p>
    <w:p>
      <w:pPr>
        <w:pStyle w:val="TextBody"/>
        <w:bidi w:val="0"/>
        <w:spacing w:before="240" w:after="0"/>
        <w:jc w:val="both"/>
        <w:rPr>
          <w:rFonts w:ascii="Times New Roman" w:hAnsi="Times New Roman"/>
          <w:sz w:val="20"/>
        </w:rPr>
      </w:pPr>
      <w:r>
        <w:rPr>
          <w:rFonts w:ascii="Times New Roman" w:hAnsi="Times New Roman"/>
          <w:sz w:val="20"/>
        </w:rPr>
        <w:t xml:space="preserve">A non-U.S. holder who claims the benefit of an applicable income tax treaty between the United States and such holders country of residence with respect to U.S. withholding taxes generally will be required to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properly executed IRS Form W-8BEN or W-8BEN-E (or applicable successor form) and satisfy applicable certification and other requirements. A non-U.S. holder that is eligible for a reduced rate of U.S. withholding tax under an income tax treaty but does not timely provide the required documentation may obtain a refund or credit of any excess amounts withheld by timely filing an appropriate claim with the IRS. Non-U.S. holders are urged to consult their own tax advisors regarding their entitlement to benefits under a relevant income tax treaty. </w:t>
      </w:r>
    </w:p>
    <w:p>
      <w:pPr>
        <w:pStyle w:val="TextBody"/>
        <w:bidi w:val="0"/>
        <w:spacing w:before="240" w:after="0"/>
        <w:jc w:val="both"/>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requires, that are attributable to a permanent establishment or fixed base maintained by the non-U.S. holder within the United States, are generally exempt from the 30% withholding tax if the non-U.S. holder satisfies applicable certification and disclosure requirements. To obtain this exemption, a non-U.S. holder must generally provide us or the applicable withholding agent with a properly executed and unexpired IRS Form W-8ECI properly certifying such exemption. However, such U.S. effectively connected income is generally taxed on a net income basis at the same graduated U.S. federal income tax rates and in the same manner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Any documentation provided to an applicable withholding agent may need to be updated in certain circumstances. The certification requirements described above also may require a non-U.S. holder to provide its U.S. taxpayer identification number. </w:t>
      </w:r>
    </w:p>
    <w:p>
      <w:pPr>
        <w:pStyle w:val="TextBody"/>
        <w:bidi w:val="0"/>
        <w:spacing w:before="360" w:after="0"/>
        <w:jc w:val="left"/>
        <w:rPr>
          <w:rFonts w:ascii="Times New Roman" w:hAnsi="Times New Roman"/>
          <w:b/>
          <w:sz w:val="20"/>
        </w:rPr>
      </w:pPr>
      <w:r>
        <w:rPr>
          <w:rFonts w:ascii="Times New Roman" w:hAnsi="Times New Roman"/>
          <w:b/>
          <w:sz w:val="20"/>
        </w:rPr>
        <w:t xml:space="preserve">Gain on Sale, Exchange, or Other Taxable Disposition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an applicable income tax treaty so requires, the gain is attributable to a permanent establishment or fixed base maintained by the non-U.S. holder within the United States; in these cases, the non-U.S. holder will generally be taxed on a net income basis at the same graduated U.S. federal income tax rates and in the same manner applicable to United States persons, and, if the non-U.S. holder is a corporation, an additional branch profits tax at a rate of 30%, or a lower rate as may be specified by an applicable income tax treaty, may also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non-U.S. holder is a nonresident alien individual who is present in the United States for a period or periods aggregating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or were a United States real property holding corporation during a certain look-back period; in such case, unless our common stock is regularly traded on an established securities market and the non-U.S. holder held no more than five percent of our outstanding common stock, directly or indirectly, actually, or constructively, during the shorter of the five-year period ending on the date of the disposition or the period that the non-U.S. holder held our common stock, such non-U.S. holder generally will be taxed on its net gain derived from the disposition at the same graduated U.S. federal income tax rates and in the same manner applicable to United States persons (as defined in the Code). Generally, a corporation is a United States real property holding corporation if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its United States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 No assurance can be provided that our common stock will be regularly traded on an established securities market for purposes of the rules described above.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We or the applicable withholding agent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so as to avoid backup withholding at the applicable rate with respect to distributions on our common stock, unless the holder otherwise establishes an exemption. Generally, a holder will comply with such procedures if it provides a properly executed IRS Form W-8BEN, W-8BEN-E, or W-8ECI or otherwise meets documentary evidence requirements for establishing that it is not a United States person. However, information returns are required to be filed with the IRS in connection with any distributions on our common stock paid to the non-U.S. holder (as described above), even if the holder complies with such procedures so as to avoid backup withholding. </w:t>
      </w:r>
    </w:p>
    <w:p>
      <w:pPr>
        <w:pStyle w:val="TextBody"/>
        <w:bidi w:val="0"/>
        <w:spacing w:before="240" w:after="0"/>
        <w:jc w:val="both"/>
        <w:rPr>
          <w:rFonts w:ascii="Times New Roman" w:hAnsi="Times New Roman"/>
          <w:sz w:val="20"/>
        </w:rPr>
      </w:pPr>
      <w:r>
        <w:rPr>
          <w:rFonts w:ascii="Times New Roman" w:hAnsi="Times New Roman"/>
          <w:sz w:val="20"/>
        </w:rPr>
        <w:t xml:space="preserve">Information reporting and backup withholding generally will apply to the proceeds of a disposition of our common stock by a non-U.S. holder effected by or through the U.S. office of any broker, U.S. or foreign, unless the holder complies with specific certification procedures to establish that it is not a United States person (as described above) and satisfies certain other requirements, or the holder otherwise establishes an exemption. Generally, information reporting and backup withholding will not apply to a payment of disposition proceeds to a non-U.S. holder where the transaction is effected outside the United States through the non-U.S. office of a foreign broker. However, for information reporting purposes, dispositions effected through a non-U.S. office of a broker that is a United States person or has certain substantial U.S. connections relating to its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bidi w:val="0"/>
        <w:spacing w:before="240" w:after="0"/>
        <w:jc w:val="both"/>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both"/>
        <w:rPr>
          <w:rFonts w:ascii="Times New Roman" w:hAnsi="Times New Roman"/>
          <w:sz w:val="20"/>
        </w:rPr>
      </w:pPr>
      <w:r>
        <w:rPr>
          <w:rFonts w:ascii="Times New Roman" w:hAnsi="Times New Roman"/>
          <w:sz w:val="20"/>
        </w:rPr>
        <w:t xml:space="preserve">Provisions of the Code commonly referred to as the Foreign Account Tax Compliance Act and associated guidance (collectively, FATCA) generally impose a 30% withholding tax on any withholdable payment (as defined below) to a foreign financial institution (as defined in the Code) (including, in some cases, when such foreign financial institution is acting as an intermediary), unless such institution enters into an agreement with the U.S. government to collect and provide to the U.S. tax authorities substantial information regarding U.S. account holders of such institution (which would include certain equity and debt holders of such institution,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certain account holders that are foreign entities with substantial U.S. owners) or another applicable exception applies or such institution is compliant with applicable foreign law enacted in connection with an applicable intergovernmental agreement governing FATCA between the United States and a foreign jurisdiction. FATCA will also generally impose a 30% withholding tax on any withholdable payment (as defined below) to a foreign entity that is not a financial institution (including, in some cases, when such entity is acting as an intermediary), unless such entity provides the applicable withholding agent with a certification identifying the substantial U.S. owners of the entity (which, subject to certain exceptions, generally includes any United States person who directly or indirectly owns more than 10% of the entity), if any, or another applicable exception applies. Under applicable U.S. Treasury Regulations, withholdable payments currently include payments of dividends on our common stock. Currently proposed U.S. Treasury Regulations (the preamble to which specifies that taxpayers are permitted to rely on them pending finalization) provide that FATCA withholding does not apply to gross proceeds from the disposition of property of a type which can produce U.S. source dividends or interest; however, prior versions of the rules would have made such gross proceeds subject to FATCA withholding. Taxpayers (including withholding agents) can currently rely on the proposed U.S. Treasury Regulations that eliminate FATCA withholding on the gross proceeds from a disposition of our common stock. Under certain circumstances, a non-U.S. holder might be eligible for refunds or credits of any taxes withheld pursuant to FATCA. </w:t>
      </w:r>
    </w:p>
    <w:p>
      <w:pPr>
        <w:pStyle w:val="TextBody"/>
        <w:bidi w:val="0"/>
        <w:spacing w:before="240" w:after="0"/>
        <w:jc w:val="both"/>
        <w:rPr>
          <w:rFonts w:ascii="Times New Roman" w:hAnsi="Times New Roman"/>
          <w:sz w:val="20"/>
        </w:rPr>
      </w:pPr>
      <w:r>
        <w:rPr>
          <w:rFonts w:ascii="Times New Roman" w:hAnsi="Times New Roman"/>
          <w:sz w:val="20"/>
        </w:rPr>
        <w:t xml:space="preserve">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common stock, including the consequences of any proposed changes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285484_18"/>
      <w:bookmarkEnd w:id="21"/>
      <w:r>
        <w:rPr>
          <w:rFonts w:ascii="Times New Roman" w:hAnsi="Times New Roman"/>
          <w:b/>
          <w:sz w:val="20"/>
        </w:rPr>
        <w:t xml:space="preserve">UNDERWRITING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the underwriters named below, for whom Morgan Stanley &amp; Co. LLC and J.P. Morgan Securities LLC are acting as representatives, have severally agreed to purchase, and we and the selling stockholders have agreed to sell to them, severally, the number of shares indicated below: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391"/>
        <w:gridCol w:w="392"/>
        <w:gridCol w:w="60"/>
        <w:gridCol w:w="748"/>
        <w:gridCol w:w="62"/>
      </w:tblGrid>
      <w:tr>
        <w:trPr/>
        <w:tc>
          <w:tcPr>
            <w:tcW w:w="639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3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92" w:type="dxa"/>
            <w:tcBorders/>
            <w:vAlign w:val="bottom"/>
          </w:tcPr>
          <w:p>
            <w:pPr>
              <w:pStyle w:val="TableContents"/>
              <w:bidi w:val="0"/>
              <w:spacing w:before="0" w:after="283"/>
              <w:jc w:val="left"/>
              <w:rPr/>
            </w:pPr>
            <w:r>
              <w:rPr/>
              <w:t>  </w:t>
            </w:r>
          </w:p>
        </w:tc>
        <w:tc>
          <w:tcPr>
            <w:tcW w:w="8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Shares</w:t>
            </w:r>
          </w:p>
        </w:tc>
        <w:tc>
          <w:tcPr>
            <w:tcW w:w="62" w:type="dxa"/>
            <w:tcBorders/>
            <w:vAlign w:val="bottom"/>
          </w:tcPr>
          <w:p>
            <w:pPr>
              <w:pStyle w:val="TableContents"/>
              <w:bidi w:val="0"/>
              <w:spacing w:before="0" w:after="283"/>
              <w:jc w:val="left"/>
              <w:rPr/>
            </w:pPr>
            <w:r>
              <w:rPr/>
              <w:t> </w:t>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9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91"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Evercore Group L.L.C.</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91"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Needham &amp; Company, LLC</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91" w:type="dxa"/>
            <w:tcBorders/>
          </w:tcPr>
          <w:p>
            <w:pPr>
              <w:pStyle w:val="TableContents"/>
              <w:bidi w:val="0"/>
              <w:spacing w:before="0" w:after="0"/>
              <w:jc w:val="left"/>
              <w:rPr>
                <w:rFonts w:ascii="Times New Roman" w:hAnsi="Times New Roman"/>
                <w:sz w:val="20"/>
              </w:rPr>
            </w:pPr>
            <w:r>
              <w:rPr>
                <w:rFonts w:ascii="Times New Roman" w:hAnsi="Times New Roman"/>
                <w:sz w:val="20"/>
              </w:rPr>
              <w:t>Stifel, Nicolaus &amp; Company, Incorporated</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Craig-Hallum Capital Group LLC</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6391" w:type="dxa"/>
            <w:tcBorders/>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63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8"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639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8"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common stock directly to the public at the offering price listed on the cover page of 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public offering price, underwriting discounts and commissions, and proceeds before expenses to us and the selling stockholders. These amounts are shown assuming both no exercise and full exercise of the underwriters option to purchase up to an additional    shares of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1"/>
        <w:gridCol w:w="295"/>
        <w:gridCol w:w="140"/>
        <w:gridCol w:w="821"/>
        <w:gridCol w:w="60"/>
        <w:gridCol w:w="295"/>
        <w:gridCol w:w="183"/>
        <w:gridCol w:w="1061"/>
        <w:gridCol w:w="60"/>
        <w:gridCol w:w="295"/>
        <w:gridCol w:w="140"/>
        <w:gridCol w:w="821"/>
        <w:gridCol w:w="63"/>
      </w:tblGrid>
      <w:tr>
        <w:trPr/>
        <w:tc>
          <w:tcPr>
            <w:tcW w:w="597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bottom"/>
          </w:tcPr>
          <w:p>
            <w:pPr>
              <w:pStyle w:val="TableContents"/>
              <w:bidi w:val="0"/>
              <w:spacing w:before="0" w:after="283"/>
              <w:jc w:val="left"/>
              <w:rPr/>
            </w:pPr>
            <w:r>
              <w:rPr/>
              <w:t> </w:t>
            </w:r>
          </w:p>
        </w:tc>
        <w:tc>
          <w:tcPr>
            <w:tcW w:w="295" w:type="dxa"/>
            <w:vMerge w:val="restart"/>
            <w:tcBorders/>
            <w:vAlign w:val="bottom"/>
          </w:tcPr>
          <w:p>
            <w:pPr>
              <w:pStyle w:val="TableContents"/>
              <w:bidi w:val="0"/>
              <w:spacing w:before="0" w:after="283"/>
              <w:jc w:val="left"/>
              <w:rPr/>
            </w:pPr>
            <w:r>
              <w:rPr/>
              <w:t>  </w:t>
            </w:r>
          </w:p>
        </w:tc>
        <w:tc>
          <w:tcPr>
            <w:tcW w:w="96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vMerge w:val="restart"/>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971" w:type="dxa"/>
            <w:tcBorders/>
            <w:vAlign w:val="bottom"/>
          </w:tcPr>
          <w:p>
            <w:pPr>
              <w:pStyle w:val="TableContents"/>
              <w:bidi w:val="0"/>
              <w:spacing w:before="0" w:after="283"/>
              <w:jc w:val="left"/>
              <w:rPr/>
            </w:pPr>
            <w:r>
              <w:rPr/>
              <w:t> </w:t>
            </w:r>
          </w:p>
        </w:tc>
        <w:tc>
          <w:tcPr>
            <w:tcW w:w="295" w:type="dxa"/>
            <w:vMerge w:val="continue"/>
            <w:tcBorders/>
            <w:vAlign w:val="bottom"/>
          </w:tcPr>
          <w:p>
            <w:pPr>
              <w:pStyle w:val="Normal"/>
              <w:bidi w:val="0"/>
              <w:jc w:val="left"/>
              <w:rPr/>
            </w:pPr>
            <w:r>
              <w:rPr/>
            </w:r>
          </w:p>
        </w:tc>
        <w:tc>
          <w:tcPr>
            <w:tcW w:w="96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97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us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971"/>
        <w:gridCol w:w="295"/>
        <w:gridCol w:w="140"/>
        <w:gridCol w:w="821"/>
        <w:gridCol w:w="60"/>
        <w:gridCol w:w="295"/>
        <w:gridCol w:w="183"/>
        <w:gridCol w:w="1061"/>
        <w:gridCol w:w="60"/>
        <w:gridCol w:w="295"/>
        <w:gridCol w:w="140"/>
        <w:gridCol w:w="821"/>
        <w:gridCol w:w="63"/>
      </w:tblGrid>
      <w:tr>
        <w:trPr/>
        <w:tc>
          <w:tcPr>
            <w:tcW w:w="597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bottom"/>
          </w:tcPr>
          <w:p>
            <w:pPr>
              <w:pStyle w:val="TableContents"/>
              <w:bidi w:val="0"/>
              <w:spacing w:before="0" w:after="283"/>
              <w:jc w:val="left"/>
              <w:rPr/>
            </w:pPr>
            <w:r>
              <w:rPr/>
              <w:t> </w:t>
            </w:r>
          </w:p>
        </w:tc>
        <w:tc>
          <w:tcPr>
            <w:tcW w:w="295" w:type="dxa"/>
            <w:vMerge w:val="restart"/>
            <w:tcBorders/>
            <w:vAlign w:val="bottom"/>
          </w:tcPr>
          <w:p>
            <w:pPr>
              <w:pStyle w:val="TableContents"/>
              <w:bidi w:val="0"/>
              <w:spacing w:before="0" w:after="283"/>
              <w:jc w:val="left"/>
              <w:rPr/>
            </w:pPr>
            <w:r>
              <w:rPr/>
              <w:t>  </w:t>
            </w:r>
          </w:p>
        </w:tc>
        <w:tc>
          <w:tcPr>
            <w:tcW w:w="96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vMerge w:val="restart"/>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971" w:type="dxa"/>
            <w:tcBorders/>
            <w:vAlign w:val="bottom"/>
          </w:tcPr>
          <w:p>
            <w:pPr>
              <w:pStyle w:val="TableContents"/>
              <w:bidi w:val="0"/>
              <w:spacing w:before="0" w:after="283"/>
              <w:jc w:val="left"/>
              <w:rPr/>
            </w:pPr>
            <w:r>
              <w:rPr/>
              <w:t> </w:t>
            </w:r>
          </w:p>
        </w:tc>
        <w:tc>
          <w:tcPr>
            <w:tcW w:w="295" w:type="dxa"/>
            <w:vMerge w:val="continue"/>
            <w:tcBorders/>
            <w:vAlign w:val="bottom"/>
          </w:tcPr>
          <w:p>
            <w:pPr>
              <w:pStyle w:val="Normal"/>
              <w:bidi w:val="0"/>
              <w:jc w:val="left"/>
              <w:rPr/>
            </w:pPr>
            <w:r>
              <w:rPr/>
            </w:r>
          </w:p>
        </w:tc>
        <w:tc>
          <w:tcPr>
            <w:tcW w:w="96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971"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 the selling stockholders</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the selling stockholders</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 We have agreed to reimburse the underwriters for expenses relating to clearance of this offering with the Financial Industry Regulatory Authority up to $   .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have informed us that they do not intend sales to discretionary accounts to exceed 5% of the total number of shares of common stock offered by them. </w:t>
      </w:r>
    </w:p>
    <w:p>
      <w:pPr>
        <w:pStyle w:val="TextBody"/>
        <w:bidi w:val="0"/>
        <w:spacing w:before="240" w:after="0"/>
        <w:jc w:val="both"/>
        <w:rPr>
          <w:rFonts w:ascii="Times New Roman" w:hAnsi="Times New Roman"/>
          <w:sz w:val="20"/>
        </w:rPr>
      </w:pPr>
      <w:r>
        <w:rPr>
          <w:rFonts w:ascii="Times New Roman" w:hAnsi="Times New Roman"/>
          <w:sz w:val="20"/>
        </w:rPr>
        <w:t xml:space="preserve">We have applied to list our common stock on Nasdaq under the trading symbol     . </w:t>
      </w:r>
    </w:p>
    <w:p>
      <w:pPr>
        <w:pStyle w:val="TextBody"/>
        <w:bidi w:val="0"/>
        <w:spacing w:before="240" w:after="0"/>
        <w:jc w:val="both"/>
        <w:rPr>
          <w:rFonts w:ascii="Times New Roman" w:hAnsi="Times New Roman"/>
          <w:sz w:val="20"/>
        </w:rPr>
      </w:pPr>
      <w:r>
        <w:rPr>
          <w:rFonts w:ascii="Times New Roman" w:hAnsi="Times New Roman"/>
          <w:sz w:val="20"/>
        </w:rPr>
        <w:t xml:space="preserve">We, our directors and executive officers, and certain holders of our common stock and securities exercisable for or convertible into our common stock, including the selling stockholders, will sign lock-up agreements stating that we and they will not, in accordance with the terms of such agreements, during the period ending on the earlier of (i) the opening of trading on the second trading day immediately following our public release of earnings for the second quarter following the most recent period for which financial statements are included in this prospectus and (ii) the 180th day after the date of this prospectus (assuming that as of such date we have publicly released our earnings for the second quarter following the most recent period for which financial statements are included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any shares of common stock and securities convertible into or exercisable or exchangeable for our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204"/>
        <w:gridCol w:w="9287"/>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w:t>
            </w:r>
          </w:p>
        </w:tc>
        <w:tc>
          <w:tcPr>
            <w:tcW w:w="204"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our common stock, whether any such transaction described above is to be settled by delivery of our common stock or such other securities, in cash or otherwise.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up to     shares of our outstanding common stock and securities directly or indirectly convertible into or exchangeable or exercisable for our common stock held by our current employees and service providers (excluding current executive officers and directors, including our founders) may be sold beginning at the opening of trading on the second trading day immediately following our public release of earnings for the first quarter following the most recent period for which financial statements are included in this prospectus; provided, that the last reported closing price of our common stock on Nasdaq is at least 25% greater than the initial public offering price per share set forth on the cover page of this prospectus for any five trading days out of the 10 consecutive full trading day period ending on the closing of the first full trading day immediately following our first post-public offering earnings release.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before="240" w:after="0"/>
        <w:jc w:val="both"/>
        <w:rPr>
          <w:rFonts w:ascii="Times New Roman" w:hAnsi="Times New Roman"/>
          <w:sz w:val="20"/>
        </w:rPr>
      </w:pPr>
      <w:r>
        <w:rPr>
          <w:rFonts w:ascii="Times New Roman" w:hAnsi="Times New Roman"/>
          <w:sz w:val="20"/>
        </w:rPr>
        <w:t xml:space="preserve">We, the selling stockholders,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both"/>
        <w:rPr>
          <w:rFonts w:ascii="Times New Roman" w:hAnsi="Times New Roman"/>
          <w:sz w:val="20"/>
        </w:rPr>
      </w:pPr>
      <w:r>
        <w:rPr>
          <w:rFonts w:ascii="Times New Roman" w:hAnsi="Times New Roman"/>
          <w:sz w:val="20"/>
        </w:rPr>
        <w:t xml:space="preserve">At our request, the underwriters have reserved up to     shares of common stock, or 2% of the shares offered by this prospectus, for sale at the public offering price through a directed share program to certain directors, business partners, and friends and family. If purchased by any of our directors, these shares will be subject to the terms of any lock-up agreements.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common stock available for sale to the general public will be reduced to the extent that such persons purchase such reserved shares. Any reserved shares not so purchased will be offered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underwriters to the general public on the same basis as the other shares offered by this prospectus. Other than the underwriting discount described on the front cover of this prospectus, the underwriters will not be entitled to any commission with respect to shares of common stock sold pursuant to the directed share program. We will agree to indemnify the underwriters against certain liabilities and expenses, including liabilities under the Securities Act, in connection with sales of the shares reserved for the directed share program. Morgan Stanley &amp; Co. LLC will administer our directed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w:t>
      </w:r>
      <w:r>
        <w:rPr>
          <w:rFonts w:ascii="Times New Roman" w:hAnsi="Times New Roman"/>
          <w:i/>
          <w:sz w:val="20"/>
        </w:rPr>
        <w:t>provided</w:t>
      </w:r>
      <w:r>
        <w:rPr>
          <w:rFonts w:ascii="Times New Roman" w:hAnsi="Times New Roman"/>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 of the Prospectus Regulation. In the case of any shares being offered to a financial intermediary as that term is used in the Prospectus Regulation, each such financial intermediary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offers of shares may be made to the public in the United Kingdom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both"/>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underwriter to publish a prospectus pursuant to Section 85 of the FSMA or supplement a prospectus pursuant to Article 23 of the UK Prospectus Regulation and each person who initially acquires any shares or to whom any offer is made will be deemed to have represented, acknowledged and agreed to and with each of the underwriters and us that it is a qualified investor within the meaning of Article 2 of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offering.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No registration pursuant to Article 4, paragraph 1 of the Financial Instruments and Exchange Law of Japan (Law No. 25 of 1948, as amended) (the FIEL) has been made or will be made with respect to the solicitation of the application for the acquisition of the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For Qualified Institutional Investors (QII)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 </w:t>
      </w:r>
    </w:p>
    <w:p>
      <w:pPr>
        <w:pStyle w:val="TextBody"/>
        <w:bidi w:val="0"/>
        <w:spacing w:before="360" w:after="0"/>
        <w:jc w:val="left"/>
        <w:rPr>
          <w:rFonts w:ascii="Times New Roman" w:hAnsi="Times New Roman"/>
          <w:i/>
          <w:sz w:val="20"/>
        </w:rPr>
      </w:pPr>
      <w:r>
        <w:rPr>
          <w:rFonts w:ascii="Times New Roman" w:hAnsi="Times New Roman"/>
          <w:i/>
          <w:sz w:val="20"/>
        </w:rPr>
        <w:t xml:space="preserve">For Non-QII Investors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both"/>
        <w:rPr>
          <w:rFonts w:ascii="Times New Roman" w:hAnsi="Times New Roman"/>
          <w:sz w:val="20"/>
        </w:rPr>
      </w:pPr>
      <w:r>
        <w:rPr>
          <w:rFonts w:ascii="Times New Roman" w:hAnsi="Times New Roman"/>
          <w:sz w:val="20"/>
        </w:rPr>
        <w:t xml:space="preserve">Where shares of our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common stock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 </w:t>
      </w:r>
    </w:p>
    <w:p>
      <w:pPr>
        <w:pStyle w:val="TextBody"/>
        <w:bidi w:val="0"/>
        <w:spacing w:before="240" w:after="0"/>
        <w:jc w:val="both"/>
        <w:rPr>
          <w:rFonts w:ascii="Times New Roman" w:hAnsi="Times New Roman"/>
          <w:sz w:val="20"/>
        </w:rPr>
      </w:pPr>
      <w:r>
        <w:rPr>
          <w:rFonts w:ascii="Times New Roman" w:hAnsi="Times New Roman"/>
          <w:sz w:val="20"/>
        </w:rPr>
        <w:t xml:space="preserve">Solely for the purposes of its obligations pursuant to Sections 309B(1)(a) and 309B(1)(c) of the SFA, we have determined, and hereby notify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both"/>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both"/>
        <w:rPr>
          <w:rFonts w:ascii="Times New Roman" w:hAnsi="Times New Roman"/>
          <w:sz w:val="20"/>
        </w:rPr>
      </w:pPr>
      <w:r>
        <w:rPr>
          <w:rFonts w:ascii="Times New Roman" w:hAnsi="Times New Roman"/>
          <w:sz w:val="20"/>
        </w:rPr>
        <w:t xml:space="preserve">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both"/>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Any offer in Australia of our common stock may only be made to persons (Exempt Investors) who are sophisticated investors (within the meaning of section 708(8) of the Corporations Act), professional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investors (within the meaning of section 708(11) of the Corporations Act), or otherwise pursuant to one or more exemptions contained in section 708 of the Corporations Act so that it is lawful to offer our common stock without disclosure to investors under Chapter 6D of the Corporations Act. </w:t>
      </w:r>
    </w:p>
    <w:p>
      <w:pPr>
        <w:pStyle w:val="TextBody"/>
        <w:bidi w:val="0"/>
        <w:spacing w:before="240" w:after="0"/>
        <w:jc w:val="both"/>
        <w:rPr>
          <w:rFonts w:ascii="Times New Roman" w:hAnsi="Times New Roman"/>
          <w:sz w:val="20"/>
        </w:rPr>
      </w:pPr>
      <w:r>
        <w:rPr>
          <w:rFonts w:ascii="Times New Roman" w:hAnsi="Times New Roman"/>
          <w:sz w:val="20"/>
        </w:rPr>
        <w:t xml:space="preserve">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both"/>
        <w:rPr>
          <w:rFonts w:ascii="Times New Roman" w:hAnsi="Times New Roman"/>
          <w:sz w:val="20"/>
        </w:rPr>
      </w:pPr>
      <w:r>
        <w:rPr>
          <w:rFonts w:ascii="Times New Roman" w:hAnsi="Times New Roman"/>
          <w:sz w:val="20"/>
        </w:rPr>
        <w:t xml:space="preserve">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before="240" w:after="0"/>
        <w:jc w:val="both"/>
        <w:rPr>
          <w:rFonts w:ascii="Times New Roman" w:hAnsi="Times New Roman"/>
          <w:sz w:val="20"/>
        </w:rPr>
      </w:pPr>
      <w:r>
        <w:rPr>
          <w:rFonts w:ascii="Times New Roman" w:hAnsi="Times New Roman"/>
          <w:sz w:val="20"/>
        </w:rPr>
        <w:t xml:space="preserve">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285484_19"/>
      <w:bookmarkEnd w:id="22"/>
      <w:r>
        <w:rPr>
          <w:rFonts w:ascii="Times New Roman" w:hAnsi="Times New Roman"/>
          <w:b/>
          <w:sz w:val="20"/>
        </w:rPr>
        <w:t xml:space="preserve">LEGAL MATTERS </w:t>
      </w:r>
    </w:p>
    <w:p>
      <w:pPr>
        <w:pStyle w:val="TextBody"/>
        <w:bidi w:val="0"/>
        <w:spacing w:before="240" w:after="0"/>
        <w:jc w:val="both"/>
        <w:rPr>
          <w:rFonts w:ascii="Times New Roman" w:hAnsi="Times New Roman"/>
          <w:sz w:val="20"/>
        </w:rPr>
      </w:pPr>
      <w:r>
        <w:rPr>
          <w:rFonts w:ascii="Times New Roman" w:hAnsi="Times New Roman"/>
          <w:sz w:val="20"/>
        </w:rPr>
        <w:t xml:space="preserve">Goodwin Procter LLP, Redwood City, California, which is acting as our counsel in connection with this offering, will pass upon the validity of the shares of our common stock being offered by this prospectus. The underwriters are being represented by Simpson Thacher &amp; Bartlett LLP, Palo Alto, California. </w:t>
      </w:r>
    </w:p>
    <w:p>
      <w:pPr>
        <w:pStyle w:val="TextBody"/>
        <w:bidi w:val="0"/>
        <w:spacing w:before="480" w:after="0"/>
        <w:jc w:val="center"/>
        <w:rPr>
          <w:rFonts w:ascii="Times New Roman" w:hAnsi="Times New Roman"/>
          <w:b/>
          <w:sz w:val="20"/>
        </w:rPr>
      </w:pPr>
      <w:bookmarkStart w:id="23" w:name="rom285484_20"/>
      <w:bookmarkEnd w:id="23"/>
      <w:r>
        <w:rPr>
          <w:rFonts w:ascii="Times New Roman" w:hAnsi="Times New Roman"/>
          <w:b/>
          <w:sz w:val="20"/>
        </w:rPr>
        <w:t xml:space="preserve">EXPERTS </w:t>
      </w:r>
    </w:p>
    <w:p>
      <w:pPr>
        <w:pStyle w:val="TextBody"/>
        <w:bidi w:val="0"/>
        <w:spacing w:before="240" w:after="0"/>
        <w:jc w:val="both"/>
        <w:rPr>
          <w:rFonts w:ascii="Times New Roman" w:hAnsi="Times New Roman"/>
          <w:sz w:val="20"/>
        </w:rPr>
      </w:pPr>
      <w:r>
        <w:rPr>
          <w:rFonts w:ascii="Times New Roman" w:hAnsi="Times New Roman"/>
          <w:sz w:val="20"/>
        </w:rPr>
        <w:t xml:space="preserve">The financial statements as of December 31, 2022 and 2023 and for the years then ended included in this prospectus have been so included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24" w:name="rom285484_21"/>
      <w:bookmarkEnd w:id="24"/>
      <w:r>
        <w:rPr>
          <w:rFonts w:ascii="Times New Roman" w:hAnsi="Times New Roman"/>
          <w:b/>
          <w:sz w:val="20"/>
        </w:rPr>
        <w:t xml:space="preserve">WHERE YOU CAN FIND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www.asteralabs.com.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intended to be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rom285484_22"/>
      <w:bookmarkEnd w:id="25"/>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7"/>
        <w:gridCol w:w="153"/>
        <w:gridCol w:w="60"/>
        <w:gridCol w:w="363"/>
        <w:gridCol w:w="62"/>
      </w:tblGrid>
      <w:tr>
        <w:trPr/>
        <w:tc>
          <w:tcPr>
            <w:tcW w:w="956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67" w:type="dxa"/>
            <w:tcBorders/>
          </w:tcPr>
          <w:p>
            <w:pPr>
              <w:pStyle w:val="TableContents"/>
              <w:bidi w:val="0"/>
              <w:spacing w:before="0" w:after="0"/>
              <w:jc w:val="left"/>
              <w:rPr>
                <w:rFonts w:ascii="Times New Roman" w:hAnsi="Times New Roman"/>
                <w:b/>
                <w:sz w:val="20"/>
              </w:rPr>
            </w:pPr>
            <w:r>
              <w:rPr>
                <w:rFonts w:ascii="Times New Roman" w:hAnsi="Times New Roman"/>
                <w:b/>
                <w:sz w:val="20"/>
              </w:rPr>
              <w:t>Annual Consolidated Financial Statements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67" w:type="dxa"/>
            <w:tcBorders/>
            <w:vAlign w:val="bottom"/>
          </w:tcPr>
          <w:p>
            <w:pPr>
              <w:pStyle w:val="TableContents"/>
              <w:bidi w:val="0"/>
              <w:spacing w:before="0" w:after="0"/>
              <w:jc w:val="left"/>
              <w:rPr/>
            </w:pPr>
            <w:hyperlink w:anchor="fin285484_1">
              <w:r>
                <w:rPr>
                  <w:rStyle w:val="InternetLink"/>
                  <w:rFonts w:ascii="Times New Roman" w:hAnsi="Times New Roman"/>
                  <w:sz w:val="20"/>
                </w:rPr>
                <w:t>Report of Independent Registered Public Accounting Firm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285484_2">
              <w:r>
                <w:rPr>
                  <w:rStyle w:val="InternetLink"/>
                  <w:rFonts w:ascii="Times New Roman" w:hAnsi="Times New Roman"/>
                  <w:sz w:val="20"/>
                </w:rPr>
                <w:t>Consolidated Balance Sheets as of December 31, 2022 and 2023</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285484_3">
              <w:r>
                <w:rPr>
                  <w:rStyle w:val="InternetLink"/>
                  <w:rFonts w:ascii="Times New Roman" w:hAnsi="Times New Roman"/>
                  <w:sz w:val="20"/>
                </w:rPr>
                <w:t>Consolidated Statements of Operations and Comprehensive Loss for the years ended December 31, 2022 and 2023</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285484_4">
              <w:r>
                <w:rPr>
                  <w:rStyle w:val="InternetLink"/>
                  <w:rFonts w:ascii="Times New Roman" w:hAnsi="Times New Roman"/>
                  <w:sz w:val="20"/>
                </w:rPr>
                <w:t>Consolidated Statements of Changes in Redeemable Convertible Preferred Stock and Stockholders Deficit for the years ended December 31, 2022 and 2023</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285484_5">
              <w:r>
                <w:rPr>
                  <w:rStyle w:val="InternetLink"/>
                  <w:rFonts w:ascii="Times New Roman" w:hAnsi="Times New Roman"/>
                  <w:sz w:val="20"/>
                </w:rPr>
                <w:t>Consolidated Statements of Cash Flows for the years ended December 31, 2022 and 2023</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567" w:type="dxa"/>
            <w:tcBorders/>
            <w:vAlign w:val="bottom"/>
          </w:tcPr>
          <w:p>
            <w:pPr>
              <w:pStyle w:val="TableContents"/>
              <w:bidi w:val="0"/>
              <w:spacing w:before="0" w:after="0"/>
              <w:jc w:val="left"/>
              <w:rPr/>
            </w:pPr>
            <w:hyperlink w:anchor="fin285484_6">
              <w:r>
                <w:rPr>
                  <w:rStyle w:val="InternetLink"/>
                  <w:rFonts w:ascii="Times New Roman" w:hAnsi="Times New Roman"/>
                  <w:sz w:val="20"/>
                </w:rPr>
                <w:t>Notes to Consolidated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fin285484_1"/>
      <w:bookmarkEnd w:id="26"/>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Stockholders of Astera Labs, Inc. </w:t>
      </w:r>
    </w:p>
    <w:p>
      <w:pPr>
        <w:pStyle w:val="TextBody"/>
        <w:bidi w:val="0"/>
        <w:spacing w:before="360" w:after="0"/>
        <w:jc w:val="left"/>
        <w:rPr>
          <w:rFonts w:ascii="Times New Roman" w:hAnsi="Times New Roman"/>
          <w:sz w:val="20"/>
        </w:rPr>
      </w:pPr>
      <w:r>
        <w:rPr>
          <w:rFonts w:ascii="Times New Roman" w:hAnsi="Times New Roman"/>
          <w:b/>
          <w:i/>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Astera Labs, Inc. and its subsidiaries (the Company) as of December 31, 2023 and 2022, and the related consolidated statements of operations and comprehensive loss,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36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February 20, 2024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bookmarkStart w:id="27" w:name="fin285484_2"/>
      <w:bookmarkEnd w:id="27"/>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par values)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2"/>
        <w:gridCol w:w="315"/>
        <w:gridCol w:w="140"/>
        <w:gridCol w:w="815"/>
        <w:gridCol w:w="155"/>
        <w:gridCol w:w="278"/>
        <w:gridCol w:w="140"/>
        <w:gridCol w:w="942"/>
        <w:gridCol w:w="158"/>
      </w:tblGrid>
      <w:tr>
        <w:trPr/>
        <w:tc>
          <w:tcPr>
            <w:tcW w:w="7262"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62"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76,088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45,098</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87,056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104,215</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10,721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8,335</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28,874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24,095</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3,266</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4,064</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206,005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185,807</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3,524</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4,712</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2,202</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5,773</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211,731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196,292</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tcPr>
          <w:p>
            <w:pPr>
              <w:pStyle w:val="TableContents"/>
              <w:bidi w:val="0"/>
              <w:spacing w:before="0" w:after="283"/>
              <w:jc w:val="left"/>
              <w:rPr>
                <w:b/>
              </w:rPr>
            </w:pPr>
            <w:r>
              <w:rPr>
                <w:b/>
              </w:rPr>
              <w:t>Liabilities, Redeemable Convertible Preferred Stock and Stockholders Deficit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10,295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6,337</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8,029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14,923</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Accrued software license costs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4,107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3,224</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17,659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10,595</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40,090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35,079</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1,806</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3,787</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41,896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38,866</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91,131 shares authorized as of December 31, 2022 and 2023; 90,891 shares issued and outstanding as of December 31, 2022 and 2023; liquidation preference of $265,699 as of December 31, 2022 and 2023</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255,127</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255,127</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162,641 shares authorized as of December 31, 2022 and 2023; 40,629 and 42,046 shares issued and outstanding as of December 31, 2022 and 2023</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14,051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27,411</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259</w:t>
            </w:r>
          </w:p>
        </w:tc>
        <w:tc>
          <w:tcPr>
            <w:tcW w:w="158" w:type="dxa"/>
            <w:tcBorders/>
            <w:vAlign w:val="bottom"/>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(99,118</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(125,375</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(85,292</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(97,701</w:t>
            </w:r>
          </w:p>
        </w:tc>
        <w:tc>
          <w:tcPr>
            <w:tcW w:w="158" w:type="dxa"/>
            <w:tcBorders/>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211,731</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196,292</w:t>
            </w:r>
          </w:p>
        </w:tc>
        <w:tc>
          <w:tcPr>
            <w:tcW w:w="158" w:type="dxa"/>
            <w:tcBorders/>
            <w:shd w:fill="CCEEFF" w:val="clear"/>
            <w:vAlign w:val="bottom"/>
          </w:tcPr>
          <w:p>
            <w:pPr>
              <w:pStyle w:val="TableContents"/>
              <w:bidi w:val="0"/>
              <w:spacing w:before="0" w:after="283"/>
              <w:jc w:val="left"/>
              <w:rPr/>
            </w:pPr>
            <w:r>
              <w:rPr/>
              <w:t> </w:t>
            </w:r>
          </w:p>
        </w:tc>
      </w:tr>
      <w:tr>
        <w:trPr/>
        <w:tc>
          <w:tcPr>
            <w:tcW w:w="7262"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bookmarkStart w:id="28" w:name="fin285484_3"/>
      <w:bookmarkEnd w:id="28"/>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4"/>
        <w:gridCol w:w="224"/>
        <w:gridCol w:w="183"/>
        <w:gridCol w:w="1059"/>
        <w:gridCol w:w="207"/>
        <w:gridCol w:w="196"/>
        <w:gridCol w:w="183"/>
        <w:gridCol w:w="1061"/>
        <w:gridCol w:w="158"/>
      </w:tblGrid>
      <w:tr>
        <w:trPr/>
        <w:tc>
          <w:tcPr>
            <w:tcW w:w="693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8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79,872</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115,794</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21,191</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35,967</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58,681</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79,827</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73,711</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73,407</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24,407</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19,992</w:t>
            </w:r>
          </w:p>
        </w:tc>
        <w:tc>
          <w:tcPr>
            <w:tcW w:w="158" w:type="dxa"/>
            <w:tcBorders/>
            <w:vAlign w:val="bottom"/>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20,757</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15,925</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118,875</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109,324</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(60,194</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(29,497</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2,613</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6,549</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(57,581</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(22,948</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764</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3,309</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(58,345</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(26,257</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 income</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(losses) gains on marketable securities, net of taxes</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(229</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488</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(loss) income</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(229</w:t>
            </w:r>
          </w:p>
        </w:tc>
        <w:tc>
          <w:tcPr>
            <w:tcW w:w="2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488</w:t>
            </w:r>
          </w:p>
        </w:tc>
        <w:tc>
          <w:tcPr>
            <w:tcW w:w="158" w:type="dxa"/>
            <w:tcBorders/>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(58,574</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(25,769</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(1.71</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(0.71</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calculating net loss per share attributable to common stockholders:</w:t>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2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34,171</w:t>
            </w:r>
          </w:p>
        </w:tc>
        <w:tc>
          <w:tcPr>
            <w:tcW w:w="207"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37,131</w:t>
            </w:r>
          </w:p>
        </w:tc>
        <w:tc>
          <w:tcPr>
            <w:tcW w:w="158" w:type="dxa"/>
            <w:tcBorders/>
            <w:shd w:fill="CCEEFF" w:val="clear"/>
            <w:vAlign w:val="bottom"/>
          </w:tcPr>
          <w:p>
            <w:pPr>
              <w:pStyle w:val="TableContents"/>
              <w:bidi w:val="0"/>
              <w:spacing w:before="0" w:after="283"/>
              <w:jc w:val="left"/>
              <w:rPr/>
            </w:pPr>
            <w:r>
              <w:rPr/>
              <w:t> </w:t>
            </w:r>
          </w:p>
        </w:tc>
      </w:tr>
      <w:tr>
        <w:trPr/>
        <w:tc>
          <w:tcPr>
            <w:tcW w:w="693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fin285484_4"/>
      <w:bookmarkEnd w:id="29"/>
      <w:r>
        <w:rPr>
          <w:rFonts w:ascii="Times New Roman" w:hAnsi="Times New Roman"/>
          <w:b/>
          <w:sz w:val="20"/>
        </w:rPr>
        <w:t xml:space="preserve">ASTERA LABS, INC., CONSOLIDATED STATEMENTS OF CHANGES IN REDEEMABLE CONVERTIBLE PREFERRED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1190" w:type="dxa"/>
        <w:jc w:val="center"/>
        <w:tblInd w:w="0" w:type="dxa"/>
        <w:tblLayout w:type="fixed"/>
        <w:tblCellMar>
          <w:top w:w="0" w:type="dxa"/>
          <w:left w:w="0" w:type="dxa"/>
          <w:bottom w:w="0" w:type="dxa"/>
          <w:right w:w="0" w:type="dxa"/>
        </w:tblCellMar>
      </w:tblPr>
      <w:tblGrid>
        <w:gridCol w:w="1055"/>
        <w:gridCol w:w="60"/>
        <w:gridCol w:w="60"/>
        <w:gridCol w:w="680"/>
        <w:gridCol w:w="60"/>
        <w:gridCol w:w="60"/>
        <w:gridCol w:w="140"/>
        <w:gridCol w:w="800"/>
        <w:gridCol w:w="60"/>
        <w:gridCol w:w="60"/>
        <w:gridCol w:w="60"/>
        <w:gridCol w:w="680"/>
        <w:gridCol w:w="155"/>
        <w:gridCol w:w="60"/>
        <w:gridCol w:w="430"/>
        <w:gridCol w:w="430"/>
        <w:gridCol w:w="60"/>
        <w:gridCol w:w="60"/>
        <w:gridCol w:w="172"/>
        <w:gridCol w:w="928"/>
        <w:gridCol w:w="155"/>
        <w:gridCol w:w="60"/>
        <w:gridCol w:w="378"/>
        <w:gridCol w:w="1232"/>
        <w:gridCol w:w="155"/>
        <w:gridCol w:w="60"/>
        <w:gridCol w:w="188"/>
        <w:gridCol w:w="1182"/>
        <w:gridCol w:w="155"/>
        <w:gridCol w:w="60"/>
        <w:gridCol w:w="209"/>
        <w:gridCol w:w="1131"/>
        <w:gridCol w:w="15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pPr>
            <w:r>
              <w:rPr>
                <w:b/>
              </w:rPr>
              <w:t>Redeemable</w:t>
              <w:br/>
              <w:t>Convertible</w:t>
            </w:r>
            <w:r>
              <w:rPr/>
              <w:br/>
            </w:r>
            <w:r>
              <w:rPr>
                <w:b/>
              </w:rP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(Loss) Income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82,603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86,689</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39,572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(40,773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(39,763</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upon exercise of stock options and vesting of early exercised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1,341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1,341</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Warrants contra revenue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Repurchase of common stock upon termination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Series D preferred stock, net of issuance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149,866</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Exchange of common stock to Series D preferred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18,572</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(18,572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(18,572</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30,235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30,235</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Unrealized losses on marketable securities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(58,345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(58,345</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255,127</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40,629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14,051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(229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(99,118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(85,292</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common stock upon exercise of stock options and 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2,050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2,050</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Warrants contra revenue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Repurchase of common stock upon termination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(174</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10,679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10,679</w:t>
            </w:r>
          </w:p>
        </w:tc>
        <w:tc>
          <w:tcPr>
            <w:tcW w:w="155"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Unrealized gains on marketable securities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(26,257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(26,257</w:t>
            </w:r>
          </w:p>
        </w:tc>
        <w:tc>
          <w:tcPr>
            <w:tcW w:w="155"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90,891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255,127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42,046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27,411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(125,375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(97,701</w:t>
            </w:r>
          </w:p>
        </w:tc>
        <w:tc>
          <w:tcPr>
            <w:tcW w:w="155"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bookmarkStart w:id="30" w:name="fin285484_5"/>
      <w:bookmarkEnd w:id="30"/>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16"/>
        </w:rPr>
      </w:pPr>
      <w:r>
        <w:rPr>
          <w:rFonts w:ascii="Times New Roman" w:hAnsi="Times New Roman"/>
          <w:b/>
          <w:sz w:val="16"/>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0"/>
        <w:gridCol w:w="304"/>
        <w:gridCol w:w="177"/>
        <w:gridCol w:w="1061"/>
        <w:gridCol w:w="196"/>
        <w:gridCol w:w="274"/>
        <w:gridCol w:w="177"/>
        <w:gridCol w:w="1128"/>
        <w:gridCol w:w="158"/>
      </w:tblGrid>
      <w:tr>
        <w:trPr/>
        <w:tc>
          <w:tcPr>
            <w:tcW w:w="673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30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(58,345</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(26,257</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30,235</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10,679</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write-down</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110</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10,343</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807</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1,781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operating lease expense</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1,448</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1,232</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Warrants contra revenue</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343</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805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discounts on marketable securities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(525</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(1,624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(6,037</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2,386</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(19,358</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(5,564</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(1,332</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(720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2,126</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(4,264</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8,014</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6,894</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7,936</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(7,061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(1,320</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(1,346</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(35,898</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(12,716</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(3,873</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(2,761</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marketable securities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(88,713</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(126,225</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Maturities of marketable securities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1,000</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32,375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of marketable securities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996</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78,839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(90,590</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(17,772</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redeemable convertible preferred stock, net of issuance costs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149,866</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(1,407</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exercises of stock options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2,115</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1,115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common stock upon termination</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(313</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(210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151,668</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(502</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25,180</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(30,990</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of the year</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50,908</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76,088</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End of the year</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76,088</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45,098</w:t>
            </w:r>
          </w:p>
        </w:tc>
        <w:tc>
          <w:tcPr>
            <w:tcW w:w="158"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investing and financing activities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061"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Exchange of common stock to Series D redeemable convertible preferred stock</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18,572</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Vesting of early exercised stock options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763</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1,209</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Deferred offering costs accrued but not yet paid</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61"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1,175</w:t>
            </w:r>
          </w:p>
        </w:tc>
        <w:tc>
          <w:tcPr>
            <w:tcW w:w="158"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in accounts payable and accrued expenses</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116</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325</w:t>
            </w:r>
          </w:p>
        </w:tc>
        <w:tc>
          <w:tcPr>
            <w:tcW w:w="158"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3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061"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30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2,477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fin285484_6"/>
      <w:bookmarkEnd w:id="31"/>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and Summary of Significant Accounting Policies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Astera Labs, Inc. (the Company) offers an Intelligent Connectivity Platform, comprised of: </w:t>
      </w:r>
    </w:p>
    <w:p>
      <w:pPr>
        <w:pStyle w:val="TextBody"/>
        <w:bidi w:val="0"/>
        <w:spacing w:before="120" w:after="0"/>
        <w:jc w:val="left"/>
        <w:rPr>
          <w:rFonts w:ascii="Times New Roman" w:hAnsi="Times New Roman"/>
          <w:sz w:val="20"/>
        </w:rPr>
      </w:pPr>
      <w:r>
        <w:rPr>
          <w:rFonts w:ascii="Times New Roman" w:hAnsi="Times New Roman"/>
          <w:sz w:val="20"/>
        </w:rPr>
        <w:t xml:space="preserve">i) Semiconductor-based, high-speed, mixed-signal connectivity products that integrate a matrix of microcontrollers and sensors; and </w:t>
      </w:r>
    </w:p>
    <w:p>
      <w:pPr>
        <w:pStyle w:val="TextBody"/>
        <w:bidi w:val="0"/>
        <w:spacing w:before="120" w:after="0"/>
        <w:jc w:val="left"/>
        <w:rPr>
          <w:rFonts w:ascii="Times New Roman" w:hAnsi="Times New Roman"/>
          <w:sz w:val="20"/>
        </w:rPr>
      </w:pPr>
      <w:r>
        <w:rPr>
          <w:rFonts w:ascii="Times New Roman" w:hAnsi="Times New Roman"/>
          <w:sz w:val="20"/>
        </w:rPr>
        <w:t xml:space="preserve">ii) COSMOS, our software suite which is embedded in our connectivity products and integrated into our customers systems. </w:t>
      </w:r>
    </w:p>
    <w:p>
      <w:pPr>
        <w:pStyle w:val="TextBody"/>
        <w:bidi w:val="0"/>
        <w:spacing w:before="240" w:after="0"/>
        <w:jc w:val="left"/>
        <w:rPr>
          <w:rFonts w:ascii="Times New Roman" w:hAnsi="Times New Roman"/>
          <w:sz w:val="20"/>
        </w:rPr>
      </w:pPr>
      <w:r>
        <w:rPr>
          <w:rFonts w:ascii="Times New Roman" w:hAnsi="Times New Roman"/>
          <w:sz w:val="20"/>
        </w:rPr>
        <w:t xml:space="preserve">The Company delivers critical connectivity performance, enables flexibility and customization, and supports observability and predictive analytics. This approach addresses the data, network, and memory bottlenecks, scalability, and other infrastructure requirements of hyperscalers and system original equipment manufacturers (OEMs).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and accompanying notes were prepared in accordance with accounting principles generally accepted in the United States of America (GAAP). </w:t>
      </w:r>
    </w:p>
    <w:p>
      <w:pPr>
        <w:pStyle w:val="TextBody"/>
        <w:bidi w:val="0"/>
        <w:spacing w:before="360" w:after="0"/>
        <w:jc w:val="left"/>
        <w:rPr>
          <w:rFonts w:ascii="Times New Roman" w:hAnsi="Times New Roman"/>
          <w:b/>
          <w:sz w:val="20"/>
        </w:rPr>
      </w:pPr>
      <w:r>
        <w:rPr>
          <w:rFonts w:ascii="Times New Roman" w:hAnsi="Times New Roman"/>
          <w:b/>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accounts of Astera Labs, Inc. and its wholly owned subsidiaries in Taiwan, Canada, and Israel. All intercompany balances and transactions have been eliminated in consolidation. </w:t>
      </w:r>
    </w:p>
    <w:p>
      <w:pPr>
        <w:pStyle w:val="TextBody"/>
        <w:bidi w:val="0"/>
        <w:spacing w:before="36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On February 12, 2024, a two-for-one reverse stock split of the Companys redeemable convertible preferred stock, common stock, stock option, stock appreciation rights, restricted stock units, and common stock warrants was effected without any changes to the par value. All information related to the Companys redeemable convertible preferred stock, common stock, stock option, stock appreciation rights, restricted stock units, and common stock warrants, as well as all per share data included in these financial statements have been retrospectively adjusted to reflect the two-for-one reverse stock split for all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Companys significant estimates include the useful lives and recoverability of long-lived assets, the valuation of deferred tax assets, reserves for uncertain tax positions, the valuation of inventory, warranty reserve, the fair value of marketable securities, the grant date fair value of common stock warrants, the valuation and assumptions underlying stock-based compensation including the per share fair value of the Companys common stock, and the incremental borrowing rate used in the Companys operating lease calculations. By their nature, estimates are subject to an inherent degree of uncertainty and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assessed certain accounting matters and estimates that generally require consideration of forecasted information using the information reasonably available to the Company. Management is not aware of any specific event or circumstance that would require an update to estimates or judgments or a revision to the carrying value of assets or liabilities. These estimates and judgments may change as new events occur and additional information is obtained, which may result in changes being recognized in the Companys consolidated financial statements in future periods. </w:t>
      </w:r>
    </w:p>
    <w:p>
      <w:pPr>
        <w:pStyle w:val="TextBody"/>
        <w:bidi w:val="0"/>
        <w:spacing w:before="360" w:after="0"/>
        <w:jc w:val="left"/>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upon transfer of control of promised goods and services in an amount that reflects the consideration it expects to receive in exchange for those goods and services. Under Accounting Standards Codification (ASC) 606, </w:t>
      </w:r>
      <w:r>
        <w:rPr>
          <w:rFonts w:ascii="Times New Roman" w:hAnsi="Times New Roman"/>
          <w:i/>
          <w:sz w:val="20"/>
        </w:rPr>
        <w:t xml:space="preserve">Revenue from Contracts with Customers </w:t>
      </w:r>
      <w:r>
        <w:rPr>
          <w:rFonts w:ascii="Times New Roman" w:hAnsi="Times New Roman"/>
          <w:sz w:val="20"/>
        </w:rPr>
        <w:t xml:space="preserve">(ASC 606),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revenue disaggregated by type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5"/>
        <w:gridCol w:w="378"/>
        <w:gridCol w:w="200"/>
        <w:gridCol w:w="1028"/>
        <w:gridCol w:w="85"/>
        <w:gridCol w:w="416"/>
        <w:gridCol w:w="200"/>
        <w:gridCol w:w="1209"/>
        <w:gridCol w:w="64"/>
      </w:tblGrid>
      <w:tr>
        <w:trPr/>
        <w:tc>
          <w:tcPr>
            <w:tcW w:w="417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1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4"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8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sales</w:t>
            </w:r>
          </w:p>
        </w:tc>
        <w:tc>
          <w:tcPr>
            <w:tcW w:w="37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78,234</w:t>
            </w:r>
          </w:p>
        </w:tc>
        <w:tc>
          <w:tcPr>
            <w:tcW w:w="8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111,889</w:t>
            </w:r>
          </w:p>
        </w:tc>
        <w:tc>
          <w:tcPr>
            <w:tcW w:w="64" w:type="dxa"/>
            <w:tcBorders/>
            <w:shd w:fill="CCEEFF" w:val="clear"/>
            <w:vAlign w:val="bottom"/>
          </w:tcPr>
          <w:p>
            <w:pPr>
              <w:pStyle w:val="TableContents"/>
              <w:bidi w:val="0"/>
              <w:spacing w:before="0" w:after="283"/>
              <w:jc w:val="left"/>
              <w:rPr/>
            </w:pPr>
            <w:r>
              <w:rPr/>
              <w:t> </w:t>
            </w:r>
          </w:p>
        </w:tc>
      </w:tr>
      <w:tr>
        <w:trPr/>
        <w:tc>
          <w:tcPr>
            <w:tcW w:w="4175"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services</w:t>
            </w:r>
          </w:p>
        </w:tc>
        <w:tc>
          <w:tcPr>
            <w:tcW w:w="37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1,638</w:t>
            </w:r>
          </w:p>
        </w:tc>
        <w:tc>
          <w:tcPr>
            <w:tcW w:w="8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3,905</w:t>
            </w:r>
          </w:p>
        </w:tc>
        <w:tc>
          <w:tcPr>
            <w:tcW w:w="64"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7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79,872</w:t>
            </w:r>
          </w:p>
        </w:tc>
        <w:tc>
          <w:tcPr>
            <w:tcW w:w="8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115,794</w:t>
            </w:r>
          </w:p>
        </w:tc>
        <w:tc>
          <w:tcPr>
            <w:tcW w:w="64" w:type="dxa"/>
            <w:tcBorders/>
            <w:shd w:fill="CCEEFF" w:val="clear"/>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an arrangement includes multiple performance obligations, the transaction price is allocated to each performance obligation on a relative standalone selling price (SSP) basis. The Company determines the SSP based on an observable standalone selling price when it is available, as well as other factors, including the price charged to customers and the Companys overall pricing objectives, while maximizing 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Accounts receivable are recorded when the customer has been billed or the right to consideration is unconditional. The Company records deferred revenue when it has received consideration, or an amount of consideration is due from the customer, and the Company has a future obligation to transfer products or services. As of December 31, 2022 and 2023, the Company had no deferred revenue. From time to time, the Company has contracts with initial terms that include performance obligations that extend beyond one year. As of December 31, 2022 and 2023, the Companys future performance obligations beyond one year were not significant.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Sales </w:t>
      </w:r>
    </w:p>
    <w:p>
      <w:pPr>
        <w:pStyle w:val="TextBody"/>
        <w:bidi w:val="0"/>
        <w:spacing w:before="120" w:after="0"/>
        <w:jc w:val="left"/>
        <w:rPr>
          <w:rFonts w:ascii="Times New Roman" w:hAnsi="Times New Roman"/>
          <w:sz w:val="20"/>
        </w:rPr>
      </w:pPr>
      <w:r>
        <w:rPr>
          <w:rFonts w:ascii="Times New Roman" w:hAnsi="Times New Roman"/>
          <w:sz w:val="20"/>
        </w:rPr>
        <w:t xml:space="preserve">The Company transacts with customers primarily pursuant to standard purchase orders for delivery of products and does not allow customers to cancel or change purchase orders within limited notice periods. The Company recognizes product sales when control transfers to the customer, generally at the time of product shipment from its facilities or at the time when products are received by customers depending on the shipping terms with the customers, in an amount that reflects the consideration the Company expects to receive in exchange for those goods, net of estimated sales returns, distributor price adjustments (DPA), rebates, and other customer incentives.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the majority of its products to distributors at a fixed list price. Distributors are authorized to resell its products to their customers at a range of individually negotiated price points based on a variety of factors, including customer, product, quantity, geography, and competitive differentiation. The majority of the distributors resales are priced at a discount from list price (the original purchase price). After the resale transaction is completed, the Company issues credit memos to the distributor for the price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to most distributors are made under programs common in the semiconductor industry whereby distributors receive certain price adjustments, or DPA, to meet individual competitive opportunities. These programs may include credits granted to distributors or price protection credits when the Companys standard published prices are lowered from the price the distributor paid for product still in its inventory.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transaction price, DPAs are considered variable consideration that reduce the amount of revenue recognized. The Companys policy is to estimate such price adjustments based on the Companys historical prices and contractual terms using the expected value method. To date, actual DPAs have been materially consistent with the provisions the Company has made, based on its historical estimates. However, because of the inherent nature of estimates, there is always a risk that there could be significant differences between actual amounts and the Companys estimates. The Company also considers the constraint on estimates of variable consideration when estimating the total transaction price.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customer programs involve volume-based rebates, which are designed to serve as sales incentives to resellers of the Companys products in various target markets. The Company accounts for rebates as a reduction to revenue and accrues for potential rebates based on the amount the Company expects to be claimed by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is recognized net of taxes collected, which are subsequently remitted to governmental authorities. Shipping and handling fees are included in cost of revenue and are recognized as activities to fulfill the promise to transfer the good. </w:t>
      </w:r>
    </w:p>
    <w:p>
      <w:pPr>
        <w:pStyle w:val="TextBody"/>
        <w:bidi w:val="0"/>
        <w:spacing w:before="240" w:after="0"/>
        <w:jc w:val="left"/>
        <w:rPr>
          <w:rFonts w:ascii="Times New Roman" w:hAnsi="Times New Roman"/>
          <w:sz w:val="20"/>
        </w:rPr>
      </w:pPr>
      <w:r>
        <w:rPr>
          <w:rFonts w:ascii="Times New Roman" w:hAnsi="Times New Roman"/>
          <w:sz w:val="20"/>
        </w:rPr>
        <w:t xml:space="preserve">Consideration payable includes cash amounts that the Company pays, or expects to pay, to a customer, and is included in accrued expenses and other current liabilities. Consideration payable also includes credits or other items. The Company accounts for consideration payable as a reduction of the transaction price, and therefore, of revenue, unless the payment to the customer is in exchange for a distinct good or service that the customer transfers to the Company. </w:t>
      </w:r>
    </w:p>
    <w:p>
      <w:pPr>
        <w:pStyle w:val="TextBody"/>
        <w:bidi w:val="0"/>
        <w:spacing w:before="240" w:after="0"/>
        <w:jc w:val="left"/>
        <w:rPr>
          <w:rFonts w:ascii="Times New Roman" w:hAnsi="Times New Roman"/>
          <w:sz w:val="20"/>
        </w:rPr>
      </w:pPr>
      <w:r>
        <w:rPr>
          <w:rFonts w:ascii="Times New Roman" w:hAnsi="Times New Roman"/>
          <w:sz w:val="20"/>
        </w:rPr>
        <w:t>During 2022 and 2023, the Company issued to a customer warrants to purchase shares of the Companys common stock. The Company accounts for the warrants as consideration payable to a customer as the Company did not receive a distinct good or service in exchange for the warrants. The shares underlying the warrants vest upon the achievement of specified tranches of global payments by the customer and its affiliates. As it becomes probable that the performance-based vesting conditions underlying the warrants will be achieved and the related revenue is recognized, the Company recognizes the related grant date fair value of the warrants as a reduction of revenue for each sales transaction in proportion to total expected cumulative sales volume resulting in achievement of the vesting conditions. See Note 8 Common Stock and Common Stock Warrants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the practical expedient to not disclose the value of unsatisfied performance obligations for contracts with an original expected length of one year. The Company applies the practical expedient to expense sales commissions when incurred because the amortization period would have been one 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products are generally subject to a product warranty, which provides for the estimated future costs of replacement upon shipment of the products. The products carry a standard one-year warranty. The warranty accrual is estimated primarily based on historical claims compared to historical revenue and assumes that the Company will have to replace products subject to a claim. Accrued warranty and warranty expenses were not material as of and for the years ended December 31, 2022 and 2023, respectively. The Company does not allow its distributors to return overstocked, obsolete, and discontinued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Engineering Services </w:t>
      </w:r>
    </w:p>
    <w:p>
      <w:pPr>
        <w:pStyle w:val="TextBody"/>
        <w:bidi w:val="0"/>
        <w:spacing w:before="120" w:after="0"/>
        <w:jc w:val="left"/>
        <w:rPr>
          <w:rFonts w:ascii="Times New Roman" w:hAnsi="Times New Roman"/>
          <w:sz w:val="20"/>
        </w:rPr>
      </w:pPr>
      <w:r>
        <w:rPr>
          <w:rFonts w:ascii="Times New Roman" w:hAnsi="Times New Roman"/>
          <w:sz w:val="20"/>
        </w:rPr>
        <w:t xml:space="preserve">Certain revenue contracts may include performance obligations related to engineering services. The Company recognizes revenue allocated to these performance obligations as certain milestones are completed and upon acceptance by the customer of contract deliverables. </w:t>
      </w:r>
    </w:p>
    <w:p>
      <w:pPr>
        <w:pStyle w:val="TextBody"/>
        <w:bidi w:val="0"/>
        <w:spacing w:before="360" w:after="0"/>
        <w:jc w:val="left"/>
        <w:rPr>
          <w:rFonts w:ascii="Times New Roman" w:hAnsi="Times New Roman"/>
          <w:b/>
          <w:sz w:val="20"/>
        </w:rPr>
      </w:pPr>
      <w:r>
        <w:rPr>
          <w:rFonts w:ascii="Times New Roman" w:hAnsi="Times New Roman"/>
          <w:b/>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including both cost of product sales revenue and cost of engineering services revenue, includes the purchase price of materials, such as wafers processed by third-party foundries, packaging for finished goods, assembly, shipping, amortization of capitalized production masks, logistics and quality assurance, write-downs for excess and obsolete inventory, and personnel costs including salaries, stock-based compensation expense, employee bonus and benefits, and allocation of general corporate expenses including allocated facilities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in performing research and development activities and include salaries, stock-based compensation expense, employee bonus and benefits, pre-production engineering mask costs, overhead costs and prototype wafer, packaging and test costs, and allocated facilities expenses. Research and development costs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Expenses </w:t>
      </w:r>
    </w:p>
    <w:p>
      <w:pPr>
        <w:pStyle w:val="TextBody"/>
        <w:bidi w:val="0"/>
        <w:spacing w:before="120" w:after="0"/>
        <w:jc w:val="left"/>
        <w:rPr>
          <w:rFonts w:ascii="Times New Roman" w:hAnsi="Times New Roman"/>
          <w:sz w:val="20"/>
        </w:rPr>
      </w:pPr>
      <w:r>
        <w:rPr>
          <w:rFonts w:ascii="Times New Roman" w:hAnsi="Times New Roman"/>
          <w:sz w:val="20"/>
        </w:rPr>
        <w:t xml:space="preserve">Sales and marketing expenses consist of personnel costs including salaries, stock-based compensation expense, employee bonus and benefits, samples to potential customers, travel and entertainment costs, and allocation of general corporate expenses including allocated facilities expenses. Advertising costs are expensed as incurred and were not material for the years ended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 costs including salaries, stock-based compensation, and employee benefits related to corporate, finance, legal and human resource functions, contractor and professional services fees, audit and compliance expenses, insurance costs, and general corporate expenses including allocated facilities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stock-based compensation expense for stock options based on the estimated fair value of the award on the date of grant, which is determined using the Black-Scholes-Merton option-pricing model for stock options that vest based on service and performance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Black-Scholes-Merton option-pricing model utilizes the following assumptions: </w:t>
      </w:r>
    </w:p>
    <w:p>
      <w:pPr>
        <w:pStyle w:val="TextBody"/>
        <w:bidi w:val="0"/>
        <w:spacing w:before="120" w:after="0"/>
        <w:jc w:val="left"/>
        <w:rPr>
          <w:rFonts w:ascii="Times New Roman" w:hAnsi="Times New Roman"/>
          <w:sz w:val="20"/>
        </w:rPr>
      </w:pPr>
      <w:r>
        <w:rPr>
          <w:rFonts w:ascii="Times New Roman" w:hAnsi="Times New Roman"/>
          <w:i/>
          <w:sz w:val="20"/>
        </w:rPr>
        <w:t>Fair value of common stock</w:t>
      </w:r>
      <w:r>
        <w:rPr>
          <w:rFonts w:ascii="Times New Roman" w:hAnsi="Times New Roman"/>
          <w:sz w:val="20"/>
        </w:rPr>
        <w:t xml:space="preserve">: The fair value of the common stock underlying the Companys stock-based awards is determined by the Companys board of directors, with input from management and the assistance of a third-party valuation firm. Because there is no public market for the Companys stock, the independent third-party valuations have generally been performed annually in accordance with the guidance outlined in the AICPA Practice Aid, Valuation of Privately-Held Company Equity Securities Issued as Compensation (AICPAs Practice Aid). In conducting the valuations, the independent third-party valuation specialist considered all objective and subjective factors that it believed to be relevant for each valuation conducted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AICPAs Practice Aid, including the price paid by investors for the Companys common and preferred stock, actual and forecasted operating and financial performance, market conditions, performance of comparable publicly-traded companies and transactions of comparable companies, developments and milestones within the Company, the rights, preferences, and privileges of the Companys common and preferred stock, and the likelihood and timing of achieving a liquidity event. </w:t>
      </w:r>
    </w:p>
    <w:p>
      <w:pPr>
        <w:pStyle w:val="TextBody"/>
        <w:bidi w:val="0"/>
        <w:spacing w:before="120" w:after="0"/>
        <w:jc w:val="left"/>
        <w:rPr>
          <w:rFonts w:ascii="Times New Roman" w:hAnsi="Times New Roman"/>
          <w:sz w:val="20"/>
        </w:rPr>
      </w:pPr>
      <w:r>
        <w:rPr>
          <w:rFonts w:ascii="Times New Roman" w:hAnsi="Times New Roman"/>
          <w:sz w:val="20"/>
        </w:rPr>
        <w:t xml:space="preserve">In determining the fair value of the Companys common stock, the fair value of the Companys business was determined using various valuation methods, including combinations of the income approach (discounted cash flow method) and the market approach (public company market-multiple method) with input from the Company. The income approach involves applying an appropriate risk-adjusted discount rate to projected cash flows based on forecasted revenue and costs. The market approach estimates value based on a comparison of the Company to comparable public companies in a similar line of business. From the comparable companies, a representative market-value multiple was determined, which was applied to the Companys operating results to estimate the enterprise value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Once the enterprise value was determined under the market approach, the Company derived the equity value of the Company and used the option-pricing model to allocate that value across the various classes of securities to arrive at the fair value of the common stock. </w:t>
      </w:r>
    </w:p>
    <w:p>
      <w:pPr>
        <w:pStyle w:val="TextBody"/>
        <w:bidi w:val="0"/>
        <w:spacing w:before="120" w:after="0"/>
        <w:jc w:val="left"/>
        <w:rPr>
          <w:rFonts w:ascii="Times New Roman" w:hAnsi="Times New Roman"/>
          <w:sz w:val="20"/>
        </w:rPr>
      </w:pPr>
      <w:r>
        <w:rPr>
          <w:rFonts w:ascii="Times New Roman" w:hAnsi="Times New Roman"/>
          <w:i/>
          <w:sz w:val="20"/>
        </w:rPr>
        <w:t>Expected term</w:t>
      </w:r>
      <w:r>
        <w:rPr>
          <w:rFonts w:ascii="Times New Roman" w:hAnsi="Times New Roman"/>
          <w:sz w:val="20"/>
        </w:rPr>
        <w:t xml:space="preserve">: The Company calculates the expected term of its stock options based on the simplified method, as the Company does not have sufficient historical information to develop reasonable expectations about future exercise patterns and post-vesting employment termination behavior. </w:t>
      </w:r>
    </w:p>
    <w:p>
      <w:pPr>
        <w:pStyle w:val="TextBody"/>
        <w:bidi w:val="0"/>
        <w:spacing w:before="120" w:after="0"/>
        <w:jc w:val="left"/>
        <w:rPr>
          <w:rFonts w:ascii="Times New Roman" w:hAnsi="Times New Roman"/>
          <w:sz w:val="20"/>
        </w:rPr>
      </w:pPr>
      <w:r>
        <w:rPr>
          <w:rFonts w:ascii="Times New Roman" w:hAnsi="Times New Roman"/>
          <w:i/>
          <w:sz w:val="20"/>
        </w:rPr>
        <w:t>Expected volatility</w:t>
      </w:r>
      <w:r>
        <w:rPr>
          <w:rFonts w:ascii="Times New Roman" w:hAnsi="Times New Roman"/>
          <w:sz w:val="20"/>
        </w:rPr>
        <w:t xml:space="preserve">: Expected volatility is a measure of the amount by which the stock price is expected to fluctuate. Since the Company does not have sufficient trading history of its common stock, it estimates the expected volatility by taking the average historical volatility of a group of comparable publicly traded companies over a period equal to the expected term of the awards. </w:t>
      </w:r>
    </w:p>
    <w:p>
      <w:pPr>
        <w:pStyle w:val="TextBody"/>
        <w:bidi w:val="0"/>
        <w:spacing w:before="120" w:after="0"/>
        <w:jc w:val="left"/>
        <w:rPr>
          <w:rFonts w:ascii="Times New Roman" w:hAnsi="Times New Roman"/>
          <w:sz w:val="20"/>
        </w:rPr>
      </w:pPr>
      <w:r>
        <w:rPr>
          <w:rFonts w:ascii="Times New Roman" w:hAnsi="Times New Roman"/>
          <w:i/>
          <w:sz w:val="20"/>
        </w:rPr>
        <w:t>Risk-free interest rate</w:t>
      </w:r>
      <w:r>
        <w:rPr>
          <w:rFonts w:ascii="Times New Roman" w:hAnsi="Times New Roman"/>
          <w:sz w:val="20"/>
        </w:rPr>
        <w:t xml:space="preserve">: The risk-free interest rate used is based on the implied yield in effect at the time of grant of U.S. Treasury securities with maturities similar to the expected term of the stock options. </w:t>
      </w:r>
    </w:p>
    <w:p>
      <w:pPr>
        <w:pStyle w:val="TextBody"/>
        <w:bidi w:val="0"/>
        <w:spacing w:before="120" w:after="0"/>
        <w:jc w:val="left"/>
        <w:rPr>
          <w:rFonts w:ascii="Times New Roman" w:hAnsi="Times New Roman"/>
          <w:sz w:val="20"/>
        </w:rPr>
      </w:pPr>
      <w:r>
        <w:rPr>
          <w:rFonts w:ascii="Times New Roman" w:hAnsi="Times New Roman"/>
          <w:i/>
          <w:sz w:val="20"/>
        </w:rPr>
        <w:t>Expected dividend yield</w:t>
      </w:r>
      <w:r>
        <w:rPr>
          <w:rFonts w:ascii="Times New Roman" w:hAnsi="Times New Roman"/>
          <w:sz w:val="20"/>
        </w:rPr>
        <w:t xml:space="preserve">: The dividend yield is zero as the Company has not declared or paid any dividends to date and does not currently expect to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For awards with service conditions only, stock-based compensation expense is recognized on a straight-line basis over the requisite service period of the awards, which is generally the vesting period. The Company accounts for forfeitures for awards with service conditions as they occur. For awards with both service and performance conditions, stock-based compensation expense is recognized using the accelerated-attribution method over the estimated vesting period of the awards if and when the Company concludes that it is probable that the performance condition will be achieved. The Company reassesses the probability of vesting at each reporting period for awards with performance conditions and adjusts compensation expense based on its probability assessment.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measures and recognizes stock-based compensation expense for restricted stock units (RSUs) based on the estimated fair value of the underlying common stock on the date of grant. The Companys RSUs vest upon the satisfaction of both service and performance conditions. The service condition for these awards is generally satisfied over a four-year vesting period. The performance condition is satisfied upon the occurrence of a change in control of the Company or the consummation of an initial public offering of the Companys equity securities, as defined in such RSU agreements. The Company recognizes compensation expense for awards with both service and performance conditions on a straight-line basis over the requisite service period for each separately vesting portion of the award and, for awards with performance conditions, when it concludes it is probable that the performance condition will be achieved. The Company reassesses the probability of vesting at each balance sheet date and adjusts compensation expense based on the probability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assessment. As of December 31, 2022 and 2023, no stock-based compensation expense had been recognized for the RSUs because management determined that it is not probable that the performance condition will be achieved.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2023, cash and cash equivalents consist of cash held in sweep accounts, checking accounts, restricted cash, money market funds, U.S. treasury and agency securities, and commercial paper. As of December 31, 2022, there was no restricted cash. As of December 31, 2023, the Companys restricted cash balance was not material and is primarily associated with collateral for the Companys credit card.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considers all highly liquid instruments purchased with an original maturity of three months or less at the date of purchase, to be cash equivalents. Cash equivalents are recorded at fair value.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Marketable securities consist primarily of commercial paper, U.S. treasury and agency securities, corporate debt securities, foreign government bonds, and asset-backed securities. The Companys investments are all highly liquid and available for use in current operations, including those with maturity dates beyond one year, and therefore the Company classifies these securities within current assets on its consolidated balance sheets. The Company considers its highly liquid investments with original maturities of three months or less at the date of purchase to be cash equivalents. Investments not considered cash equivalents are classified as marketable securities on the Companys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classifies and accounts for its marketable securities as available-for-sale, and it carries such securities at fair value with unrealized gains and losses excluded from earnings and reported net of tax as a separate component of stockholders deficit in accumulated other comprehensive (loss) income until the security is sold or matures. During the years ended December 31, 2022 and 2023, in connection with its available-for-sale securities, the Company recorded pretax unrealized losses of $0.2 million and unrealized gains of $0.5 million, respectively, in other comprehensive (loss) income with no associated tax benefit. </w:t>
      </w:r>
    </w:p>
    <w:p>
      <w:pPr>
        <w:pStyle w:val="TextBody"/>
        <w:bidi w:val="0"/>
        <w:spacing w:before="240" w:after="0"/>
        <w:jc w:val="left"/>
        <w:rPr>
          <w:rFonts w:ascii="Times New Roman" w:hAnsi="Times New Roman"/>
          <w:sz w:val="20"/>
        </w:rPr>
      </w:pPr>
      <w:r>
        <w:rPr>
          <w:rFonts w:ascii="Times New Roman" w:hAnsi="Times New Roman"/>
          <w:sz w:val="20"/>
        </w:rPr>
        <w:t xml:space="preserve">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impairment loss on the security. If neither condition is met, the Company evaluates whether the decline is the result of credit-related factors, in which case the Company records the credit-related portion of the impairment loss. There were no impairment charges for the years ended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are recorded at the invoiced amount, net of DPAs, and allowance for credit losses. The Company performs periodic credit evaluations of its customers financial condition and does not require collateral from them. Amounts considered uncollectible are charged against the allowance account in the year they are deemed uncollectible. As of December 31, 2022 and 2023 and for the years then ended, the allowance for credit losses and related activity was not material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regularly monitors collections and payments from customers and maintains an allowance for credit losses for estimated losses resulting from the inability of customers to make required payments. Management estimates its allowance for credit losses by considering factors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The Company writes off accounts receivable that have become uncollectible.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Inventory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inventory, which includes raw materials, work-in-progress, and finished goods, is stated at the lower of cost or net realizable value. Inventory cost, which includes materials purchase cost, inbound freight and capitalized overhead, is computed using standard cost, which approximates actual cost, on a first-in, first-out basis. Net realizable value is the estimated selling price of the Companys products in the ordinary course of business, less reasonably predictable costs of completion, disposal, and transportation. The carrying value of inventory is reduced for estimated excess and obsolete inventory. Excess and obsolete inventory reductions are determined based on assumptions about product expiration, future demand, and market conditions, and are included in cost of revenue in the consolidated statements of operations and comprehensive loss. </w:t>
      </w:r>
    </w:p>
    <w:p>
      <w:pPr>
        <w:pStyle w:val="TextBody"/>
        <w:bidi w:val="0"/>
        <w:spacing w:before="360" w:after="0"/>
        <w:jc w:val="left"/>
        <w:rPr>
          <w:rFonts w:ascii="Times New Roman" w:hAnsi="Times New Roman"/>
          <w:b/>
          <w:sz w:val="20"/>
        </w:rPr>
      </w:pPr>
      <w:r>
        <w:rPr>
          <w:rFonts w:ascii="Times New Roman" w:hAnsi="Times New Roman"/>
          <w:b/>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included prepayments for technology subscription service, cloud computing arrangements, and insurance premiums. </w:t>
      </w:r>
    </w:p>
    <w:p>
      <w:pPr>
        <w:pStyle w:val="TextBody"/>
        <w:bidi w:val="0"/>
        <w:spacing w:before="360" w:after="0"/>
        <w:jc w:val="left"/>
        <w:rPr>
          <w:rFonts w:ascii="Times New Roman" w:hAnsi="Times New Roman"/>
          <w:b/>
          <w:sz w:val="20"/>
        </w:rPr>
      </w:pPr>
      <w:r>
        <w:rPr>
          <w:rFonts w:ascii="Times New Roman" w:hAnsi="Times New Roman"/>
          <w:b/>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is stated at cost, net of accumulated depreciation. Depreciation expense is recorded on a straight-line basis over the estimated useful lives of the assets. The estimated useful lives of the Companys property and equipment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Asset Category</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right"/>
              <w:rPr>
                <w:rFonts w:ascii="Times New Roman" w:hAnsi="Times New Roman"/>
                <w:b/>
                <w:sz w:val="16"/>
              </w:rPr>
            </w:pPr>
            <w:r>
              <w:rPr>
                <w:rFonts w:ascii="Times New Roman" w:hAnsi="Times New Roman"/>
                <w:b/>
                <w:sz w:val="16"/>
              </w:rPr>
              <w:t>Estimated Useful Life</w:t>
            </w:r>
          </w:p>
        </w:tc>
      </w:tr>
      <w:tr>
        <w:trPr/>
        <w:tc>
          <w:tcPr>
            <w:tcW w:w="5204" w:type="dxa"/>
            <w:tcBorders/>
          </w:tcPr>
          <w:p>
            <w:pPr>
              <w:pStyle w:val="TableContents"/>
              <w:bidi w:val="0"/>
              <w:spacing w:before="0" w:after="283"/>
              <w:jc w:val="left"/>
              <w:rPr/>
            </w:pPr>
            <w:r>
              <w:rPr/>
              <w:t>Office furniture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5 years</w:t>
            </w:r>
          </w:p>
        </w:tc>
      </w:tr>
      <w:tr>
        <w:trPr/>
        <w:tc>
          <w:tcPr>
            <w:tcW w:w="5204" w:type="dxa"/>
            <w:tcBorders/>
          </w:tcPr>
          <w:p>
            <w:pPr>
              <w:pStyle w:val="TableContents"/>
              <w:bidi w:val="0"/>
              <w:spacing w:before="0" w:after="283"/>
              <w:jc w:val="left"/>
              <w:rPr/>
            </w:pPr>
            <w:r>
              <w:rPr/>
              <w:t>Laboratory equipment</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3 years</w:t>
            </w:r>
          </w:p>
        </w:tc>
      </w:tr>
      <w:tr>
        <w:trPr/>
        <w:tc>
          <w:tcPr>
            <w:tcW w:w="5204" w:type="dxa"/>
            <w:tcBorders/>
          </w:tcPr>
          <w:p>
            <w:pPr>
              <w:pStyle w:val="TableContents"/>
              <w:bidi w:val="0"/>
              <w:spacing w:before="0" w:after="283"/>
              <w:jc w:val="left"/>
              <w:rPr/>
            </w:pPr>
            <w:r>
              <w:rPr/>
              <w:t>Servers and workstations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3 years</w:t>
            </w:r>
          </w:p>
        </w:tc>
      </w:tr>
      <w:tr>
        <w:trPr/>
        <w:tc>
          <w:tcPr>
            <w:tcW w:w="5204" w:type="dxa"/>
            <w:tcBorders/>
          </w:tcPr>
          <w:p>
            <w:pPr>
              <w:pStyle w:val="TableContents"/>
              <w:bidi w:val="0"/>
              <w:spacing w:before="0" w:after="283"/>
              <w:jc w:val="left"/>
              <w:rPr/>
            </w:pPr>
            <w:r>
              <w:rPr/>
              <w:t>Leasehold improvements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Lesser of asset useful life or remaining lease term</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Cloud Computing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periodically enters into cloud computing arrangements to access and use third-party software in support of its operations. The Company capitalizes certain implementation costs incurred during the application development statement stage related to hosting arrangements that are accounted for as service contracts. Capitalized costs are included in prepaid expenses and other current assets and other assets on the consolidated balance sheets and are amortized on a straight-line basis over the estimated useful life or the fixed, non-cancellable term of the associated hosting arrangement. There were no capitalized implementation costs and amortization expense for the cloud computing arrangements as of and for the year ended December 31, 2022. As of December 31, 2023, the Company had capitalized implementation costs, net of amortization, of $0.2 million. Amortization expense for the implementation costs was not material for the year ended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assesses the impairment of long-lived assets, which consist primarily of property and equipment, whenever events or changes in circumstances indicate that such assets might be impaired and the carrying value may not be recoverable.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w:t>
      </w:r>
    </w:p>
    <w:p>
      <w:pPr>
        <w:pStyle w:val="TextBody"/>
        <w:bidi w:val="0"/>
        <w:spacing w:before="240" w:after="0"/>
        <w:jc w:val="left"/>
        <w:rPr>
          <w:rFonts w:ascii="Times New Roman" w:hAnsi="Times New Roman"/>
          <w:sz w:val="20"/>
        </w:rPr>
      </w:pPr>
      <w:r>
        <w:rPr>
          <w:rFonts w:ascii="Times New Roman" w:hAnsi="Times New Roman"/>
          <w:sz w:val="20"/>
        </w:rPr>
        <w:t xml:space="preserve">If events or changes in circumstances indicate that the carrying amount of an asset may not be recoverable and the expected undiscounted future cash flows attributable to the asset are less than the carrying amount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asset, an impairment loss equal to the excess of the assets carrying value over its fair value is recorded. Fair value is generally determined based on the present value of estimated expected future cash flows using a discount rate commensurate with the risk involved, quoted market prices or appraised values, depending on the nature of the asset. There were no impairments charges of long-lived assets for the years ended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at contract inception whether an arrangement is a lease based on its ability to control a physically distinct asset and determines the classification of the lease as either operating or finance. For all leases, the Company combines all components of the lease including related non-lease components as a single component. The Companys operating lease right-of-use (ROU) assets represent the Companys right to use an underlying asset for the lease term and lease liabilities represent the Companys obligation to make lease payments related to the lease. The Company has also elected to utilize the short-term lease recognition exemption and, for those leases that qualify, the Company has not recognized operating lease ROU assets or operating lease liabilities. The Company does not have any finance leases as of December 31, 2022 and 2023. Operating lease ROU assets and liabilities are recognized at the commencement date based on the present value of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 </w:t>
      </w:r>
    </w:p>
    <w:p>
      <w:pPr>
        <w:pStyle w:val="TextBody"/>
        <w:bidi w:val="0"/>
        <w:spacing w:before="240" w:after="0"/>
        <w:jc w:val="left"/>
        <w:rPr>
          <w:rFonts w:ascii="Times New Roman" w:hAnsi="Times New Roman"/>
          <w:sz w:val="20"/>
        </w:rPr>
      </w:pPr>
      <w:r>
        <w:rPr>
          <w:rFonts w:ascii="Times New Roman" w:hAnsi="Times New Roman"/>
          <w:sz w:val="20"/>
        </w:rPr>
        <w:t xml:space="preserve">Lease terms may include options to extend or terminate the lease when the Company is reasonably certain that it will exercise the option. Lease expense is recognized on a straight-line basis over the lease term in the consolidated statements of operations and comprehensive loss. Certain lease agreements may contain variable costs such as utilities and common area maintenance. Variable lease costs are expensed when the cost is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consisting of legal, accounting, and other fees and costs relating to the Companys planned initial public offering are capitalized within other assets on the consolidated balance sheets. The deferred offering costs will be offset against the proceeds received by the Company upon the closing of the planned initial public offering. In the event the planned initial public offering is terminated, all of the deferred offering costs will be expensed within operating loss. As of December 31, 2022 and 2023, the deferred offering costs were $0 and $2.6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United States and certain foreign jurisdictions. Significant judgment is required in determining the Companys provision for income taxes and income tax assets and liabilities, including evaluating uncertainties in the application of accounting principles and complex tax laws. </w:t>
      </w:r>
    </w:p>
    <w:p>
      <w:pPr>
        <w:pStyle w:val="TextBody"/>
        <w:bidi w:val="0"/>
        <w:spacing w:before="240" w:after="0"/>
        <w:jc w:val="left"/>
        <w:rPr>
          <w:rFonts w:ascii="Times New Roman" w:hAnsi="Times New Roman"/>
          <w:sz w:val="20"/>
        </w:rPr>
      </w:pPr>
      <w:r>
        <w:rPr>
          <w:rFonts w:ascii="Times New Roman" w:hAnsi="Times New Roman"/>
          <w:sz w:val="20"/>
        </w:rPr>
        <w:t xml:space="preserve">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uncertain tax positions in accordance with ASC 740-10, </w:t>
      </w:r>
      <w:r>
        <w:rPr>
          <w:rFonts w:ascii="Times New Roman" w:hAnsi="Times New Roman"/>
          <w:i/>
          <w:sz w:val="20"/>
        </w:rPr>
        <w:t>Accounting for Uncertainty in Income Taxes</w:t>
      </w:r>
      <w:r>
        <w:rPr>
          <w:rFonts w:ascii="Times New Roman" w:hAnsi="Times New Roman"/>
          <w:sz w:val="20"/>
        </w:rPr>
        <w:t xml:space="preserve">. The Company recognizes the tax effects of an uncertain tax position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position is more-likely-than-not to be sustained based solely on its technical merits as of the reporting date and only in an amount more-likely-than-not to be sustained upon review by the tax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Liabilities for loss contingencies arising from claims, assessments, litigation, fines, and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all shares of redeemable convertible preferred shares at their respective fair values less issuance costs on the dates of issuance. The redeemable convertible preferred shares were recorded outside of stockholders deficit because, in the event of certain liquidation events, considered not solely within the Companys control, such as a change in control event and sale of all or substantially all of the Companys assets, the redeemable convertible preferred shares would become redeemable at the option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Companys foreign subsidiaries in Taiwan, Canada, and Israel is the U.S. dollar. All foreign currency transactions are initially measured and recorded in U.S. dollars using the exchange rate on the date of the transaction. Foreign currency denominated monetary assets and liabilities are remeasured and recorded at the end of each reporting period using the exchange rate at that date. Foreign exchange gains and losses were not material for the years ended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Certain revenue, expenses, gains, and losses are recognized in comprehensive income (loss) but excluded from net loss. Comprehensive loss includes unrealized gains and losses on the Companys marketable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Quoted prices for identical assets and liabilities in active markets.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2. </w:t>
      </w:r>
      <w:r>
        <w:rPr>
          <w:rFonts w:ascii="Times New Roman" w:hAnsi="Times New Roman"/>
          <w:sz w:val="20"/>
        </w:rPr>
        <w:t xml:space="preserve">Assets and liabilities valued based on observable market data for similar instruments, such as quoted prices for similar assets or liabilities or other inputs that are observable or can be corroborated by observable market data.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3. </w:t>
      </w:r>
      <w:r>
        <w:rPr>
          <w:rFonts w:ascii="Times New Roman" w:hAnsi="Times New Roman"/>
          <w:sz w:val="20"/>
        </w:rPr>
        <w:t xml:space="preserve">Unobservable inputs reflecting the Companys assumptions, consistent with reasonably available assumptions made by other market participants. These valuations require significant judgment.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hierarchy also requires an entity to maximize the use of observable inputs and minimizes the use of unobservable inputs when measuring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carrying amount of the Companys financial instruments, including cash equivalents, accounts receivable, and accounts payable, approximates their respective fair values because of their short maturities.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Concentrations of Credit Risk and 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one customer (which is a distributor) accounted for 81.7% and one customer accounted for 14.0% of revenue. For the year ended December 31, 2023, one customer (which is a distributor) accounted for 37.0%, one customer accounted for 24.4%, and one customer accounted for 17.9% of revenue. No other customers accounted for more than 10% of revenue during the years ended December 31, 2022 and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one customer (a distributor) accounted for 44.1% and one customer accounted for 43.8% of total accounts receivable, net. As of December 31, 2023, one customer accounted for 39.2% and one customer (a distributor) accounted for 26.8% of total accounts receivable, net. No other customers accounted for more than 10% of accounts receivable, net as of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Supply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relies on a single manufacturing partner for integrated circuits. The Company also relies on a small, limited number of other manufacturing partners for its modules, boards, and integrated circuit substrates. While alternative providers could be identified, the Company is subject to supply and pricing risks.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w:t>
      </w:r>
      <w:r>
        <w:rPr>
          <w:rFonts w:ascii="Times New Roman" w:hAnsi="Times New Roman"/>
          <w:i/>
          <w:sz w:val="20"/>
        </w:rPr>
        <w:t>Segment Reporting (Topic 280): Improvements to Reportable Segment Disclosures</w:t>
      </w:r>
      <w:r>
        <w:rPr>
          <w:rFonts w:ascii="Times New Roman" w:hAnsi="Times New Roman"/>
          <w:sz w:val="20"/>
        </w:rPr>
        <w:t xml:space="preserve"> (ASU 2023-07). ASU 2023-07 enhances the disclosures required for operating segments in the Companys annual and interim consolidated financial statements. The disclosures required under ASU 2023-07 are also required for public entities with a single reportable segment. The ASU is effective for fiscal years beginning after December 15, 2023, and interim periods within fiscal years beginning after December 15, 2024. Early adoption is permitted. The Company is currently evaluating the impact of the adoption of this guidance on its consolidated financial statements and related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 (ASU 2023-09)</w:t>
      </w:r>
      <w:r>
        <w:rPr>
          <w:rFonts w:ascii="Times New Roman" w:hAnsi="Times New Roman"/>
          <w:sz w:val="20"/>
        </w:rPr>
        <w:t xml:space="preserve">. ASU 2023-09 requires disaggregated information about a reporting entitys effective tax rate reconciliation as well as information on income taxes paid. The ASU is effective for public business entities for annual periods beginning after December 15, 2024. For all other entities, the standard is effective for annual periods beginning after December 15, 2025. Early adoption is permitted. The Company is currently evaluating the impact of the adoption of this guidance on its consolidated financial statements and related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and Geographical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chief operating decision 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by location is determined by the billing address of the customers, who include distributors who purchase the Companys products and resell them. The following table sets forth revenue by geographic area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4"/>
        <w:gridCol w:w="380"/>
        <w:gridCol w:w="199"/>
        <w:gridCol w:w="1027"/>
        <w:gridCol w:w="85"/>
        <w:gridCol w:w="418"/>
        <w:gridCol w:w="199"/>
        <w:gridCol w:w="1208"/>
        <w:gridCol w:w="65"/>
      </w:tblGrid>
      <w:tr>
        <w:trPr/>
        <w:tc>
          <w:tcPr>
            <w:tcW w:w="4174"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1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8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5"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3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61,776</w:t>
            </w:r>
          </w:p>
        </w:tc>
        <w:tc>
          <w:tcPr>
            <w:tcW w:w="8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72,174</w:t>
            </w:r>
          </w:p>
        </w:tc>
        <w:tc>
          <w:tcPr>
            <w:tcW w:w="65" w:type="dxa"/>
            <w:tcBorders/>
            <w:shd w:fill="CCEEFF" w:val="clear"/>
            <w:vAlign w:val="bottom"/>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3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11,479</w:t>
            </w:r>
          </w:p>
        </w:tc>
        <w:tc>
          <w:tcPr>
            <w:tcW w:w="8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4,919</w:t>
            </w:r>
          </w:p>
        </w:tc>
        <w:tc>
          <w:tcPr>
            <w:tcW w:w="65"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4,779</w:t>
            </w:r>
          </w:p>
        </w:tc>
        <w:tc>
          <w:tcPr>
            <w:tcW w:w="8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30,664</w:t>
            </w:r>
          </w:p>
        </w:tc>
        <w:tc>
          <w:tcPr>
            <w:tcW w:w="65" w:type="dxa"/>
            <w:tcBorders/>
            <w:shd w:fill="CCEEFF" w:val="clear"/>
            <w:vAlign w:val="bottom"/>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1,838</w:t>
            </w:r>
          </w:p>
        </w:tc>
        <w:tc>
          <w:tcPr>
            <w:tcW w:w="8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8,037</w:t>
            </w:r>
          </w:p>
        </w:tc>
        <w:tc>
          <w:tcPr>
            <w:tcW w:w="65"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79,872</w:t>
            </w:r>
          </w:p>
        </w:tc>
        <w:tc>
          <w:tcPr>
            <w:tcW w:w="8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115,794</w:t>
            </w:r>
          </w:p>
        </w:tc>
        <w:tc>
          <w:tcPr>
            <w:tcW w:w="65"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Property and equipment by geographic location is based on the location of the asset. As of December 31, 2022 and 2023, substantially all of the Companys property and equipment was located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Consolidated 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Inventory </w:t>
      </w:r>
    </w:p>
    <w:p>
      <w:pPr>
        <w:pStyle w:val="TextBody"/>
        <w:bidi w:val="0"/>
        <w:spacing w:before="120" w:after="0"/>
        <w:jc w:val="left"/>
        <w:rPr>
          <w:rFonts w:ascii="Times New Roman" w:hAnsi="Times New Roman"/>
          <w:sz w:val="20"/>
        </w:rPr>
      </w:pPr>
      <w:r>
        <w:rPr>
          <w:rFonts w:ascii="Times New Roman" w:hAnsi="Times New Roman"/>
          <w:sz w:val="20"/>
        </w:rPr>
        <w:t xml:space="preserve">Inventory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28"/>
        <w:gridCol w:w="360"/>
        <w:gridCol w:w="140"/>
        <w:gridCol w:w="751"/>
        <w:gridCol w:w="60"/>
        <w:gridCol w:w="360"/>
        <w:gridCol w:w="140"/>
        <w:gridCol w:w="751"/>
        <w:gridCol w:w="65"/>
      </w:tblGrid>
      <w:tr>
        <w:trPr/>
        <w:tc>
          <w:tcPr>
            <w:tcW w:w="5128"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28"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128"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Work-in-progress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18,957</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11,780</w:t>
            </w:r>
          </w:p>
        </w:tc>
        <w:tc>
          <w:tcPr>
            <w:tcW w:w="65" w:type="dxa"/>
            <w:tcBorders/>
            <w:shd w:fill="CCEEFF" w:val="clear"/>
            <w:vAlign w:val="bottom"/>
          </w:tcPr>
          <w:p>
            <w:pPr>
              <w:pStyle w:val="TableContents"/>
              <w:bidi w:val="0"/>
              <w:spacing w:before="0" w:after="283"/>
              <w:jc w:val="left"/>
              <w:rPr/>
            </w:pPr>
            <w:r>
              <w:rPr/>
              <w:t> </w:t>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7,197</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10,068</w:t>
            </w:r>
          </w:p>
        </w:tc>
        <w:tc>
          <w:tcPr>
            <w:tcW w:w="65" w:type="dxa"/>
            <w:tcBorders/>
            <w:vAlign w:val="bottom"/>
          </w:tcPr>
          <w:p>
            <w:pPr>
              <w:pStyle w:val="TableContents"/>
              <w:bidi w:val="0"/>
              <w:spacing w:before="0" w:after="283"/>
              <w:jc w:val="left"/>
              <w:rPr/>
            </w:pPr>
            <w:r>
              <w:rPr/>
              <w:t> </w:t>
            </w:r>
          </w:p>
        </w:tc>
      </w:tr>
      <w:tr>
        <w:trPr/>
        <w:tc>
          <w:tcPr>
            <w:tcW w:w="51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2,720</w:t>
            </w:r>
          </w:p>
        </w:tc>
        <w:tc>
          <w:tcPr>
            <w:tcW w:w="6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2,247</w:t>
            </w:r>
          </w:p>
        </w:tc>
        <w:tc>
          <w:tcPr>
            <w:tcW w:w="65" w:type="dxa"/>
            <w:tcBorders/>
            <w:shd w:fill="CCEEFF" w:val="clear"/>
            <w:vAlign w:val="bottom"/>
          </w:tcPr>
          <w:p>
            <w:pPr>
              <w:pStyle w:val="TableContents"/>
              <w:bidi w:val="0"/>
              <w:spacing w:before="0" w:after="283"/>
              <w:jc w:val="left"/>
              <w:rPr/>
            </w:pPr>
            <w:r>
              <w:rPr/>
              <w:t> </w:t>
            </w:r>
          </w:p>
        </w:tc>
      </w:tr>
      <w:tr>
        <w:trPr/>
        <w:tc>
          <w:tcPr>
            <w:tcW w:w="5128"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28"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inventory</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28,874</w:t>
            </w:r>
          </w:p>
        </w:tc>
        <w:tc>
          <w:tcPr>
            <w:tcW w:w="6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24,095</w:t>
            </w:r>
          </w:p>
        </w:tc>
        <w:tc>
          <w:tcPr>
            <w:tcW w:w="65" w:type="dxa"/>
            <w:tcBorders/>
            <w:vAlign w:val="bottom"/>
          </w:tcPr>
          <w:p>
            <w:pPr>
              <w:pStyle w:val="TableContents"/>
              <w:bidi w:val="0"/>
              <w:spacing w:before="0" w:after="283"/>
              <w:jc w:val="left"/>
              <w:rPr/>
            </w:pPr>
            <w:r>
              <w:rPr/>
              <w:t> </w:t>
            </w:r>
          </w:p>
        </w:tc>
      </w:tr>
      <w:tr>
        <w:trPr/>
        <w:tc>
          <w:tcPr>
            <w:tcW w:w="5128" w:type="dxa"/>
            <w:tcBorders/>
            <w:vAlign w:val="bottom"/>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07"/>
        <w:gridCol w:w="375"/>
        <w:gridCol w:w="173"/>
        <w:gridCol w:w="697"/>
        <w:gridCol w:w="73"/>
        <w:gridCol w:w="393"/>
        <w:gridCol w:w="173"/>
        <w:gridCol w:w="699"/>
        <w:gridCol w:w="65"/>
      </w:tblGrid>
      <w:tr>
        <w:trPr/>
        <w:tc>
          <w:tcPr>
            <w:tcW w:w="510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7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2,757</w:t>
            </w:r>
          </w:p>
        </w:tc>
        <w:tc>
          <w:tcPr>
            <w:tcW w:w="73"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3,378</w:t>
            </w:r>
          </w:p>
        </w:tc>
        <w:tc>
          <w:tcPr>
            <w:tcW w:w="65" w:type="dxa"/>
            <w:tcBorders/>
            <w:shd w:fill="CCEEFF" w:val="clear"/>
            <w:vAlign w:val="bottom"/>
          </w:tcPr>
          <w:p>
            <w:pPr>
              <w:pStyle w:val="TableContents"/>
              <w:bidi w:val="0"/>
              <w:spacing w:before="0" w:after="283"/>
              <w:jc w:val="left"/>
              <w:rPr/>
            </w:pPr>
            <w:r>
              <w:rPr/>
              <w:t> </w:t>
            </w:r>
          </w:p>
        </w:tc>
      </w:tr>
      <w:tr>
        <w:trPr/>
        <w:tc>
          <w:tcPr>
            <w:tcW w:w="510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7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509</w:t>
            </w:r>
          </w:p>
        </w:tc>
        <w:tc>
          <w:tcPr>
            <w:tcW w:w="7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686</w:t>
            </w:r>
          </w:p>
        </w:tc>
        <w:tc>
          <w:tcPr>
            <w:tcW w:w="65" w:type="dxa"/>
            <w:tcBorders/>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37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3,266</w:t>
            </w:r>
          </w:p>
        </w:tc>
        <w:tc>
          <w:tcPr>
            <w:tcW w:w="73"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4,064</w:t>
            </w:r>
          </w:p>
        </w:tc>
        <w:tc>
          <w:tcPr>
            <w:tcW w:w="65" w:type="dxa"/>
            <w:tcBorders/>
            <w:shd w:fill="CCEEFF" w:val="clear"/>
            <w:vAlign w:val="bottom"/>
          </w:tcPr>
          <w:p>
            <w:pPr>
              <w:pStyle w:val="TableContents"/>
              <w:bidi w:val="0"/>
              <w:spacing w:before="0" w:after="283"/>
              <w:jc w:val="left"/>
              <w:rPr/>
            </w:pPr>
            <w:r>
              <w:rPr/>
              <w:t> </w:t>
            </w:r>
          </w:p>
        </w:tc>
      </w:tr>
      <w:tr>
        <w:trPr/>
        <w:tc>
          <w:tcPr>
            <w:tcW w:w="510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2"/>
        <w:gridCol w:w="420"/>
        <w:gridCol w:w="140"/>
        <w:gridCol w:w="561"/>
        <w:gridCol w:w="164"/>
        <w:gridCol w:w="420"/>
        <w:gridCol w:w="140"/>
        <w:gridCol w:w="669"/>
        <w:gridCol w:w="159"/>
      </w:tblGrid>
      <w:tr>
        <w:trPr/>
        <w:tc>
          <w:tcPr>
            <w:tcW w:w="508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0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3,810</w:t>
            </w:r>
          </w:p>
        </w:tc>
        <w:tc>
          <w:tcPr>
            <w:tcW w:w="164"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6,470</w:t>
            </w:r>
          </w:p>
        </w:tc>
        <w:tc>
          <w:tcPr>
            <w:tcW w:w="159"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20"/>
              </w:rPr>
            </w:pPr>
            <w:r>
              <w:rPr>
                <w:rFonts w:ascii="Times New Roman" w:hAnsi="Times New Roman"/>
                <w:sz w:val="20"/>
              </w:rPr>
              <w:t>Office furniture</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243</w:t>
            </w:r>
          </w:p>
        </w:tc>
        <w:tc>
          <w:tcPr>
            <w:tcW w:w="16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242</w:t>
            </w:r>
          </w:p>
        </w:tc>
        <w:tc>
          <w:tcPr>
            <w:tcW w:w="159"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220</w:t>
            </w:r>
          </w:p>
        </w:tc>
        <w:tc>
          <w:tcPr>
            <w:tcW w:w="164"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437</w:t>
            </w:r>
          </w:p>
        </w:tc>
        <w:tc>
          <w:tcPr>
            <w:tcW w:w="159"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20"/>
              </w:rPr>
            </w:pPr>
            <w:r>
              <w:rPr>
                <w:rFonts w:ascii="Times New Roman" w:hAnsi="Times New Roman"/>
                <w:sz w:val="20"/>
              </w:rPr>
              <w:t>Servers and workstations</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149</w:t>
            </w:r>
          </w:p>
        </w:tc>
        <w:tc>
          <w:tcPr>
            <w:tcW w:w="16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242</w:t>
            </w:r>
          </w:p>
        </w:tc>
        <w:tc>
          <w:tcPr>
            <w:tcW w:w="159"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4,422</w:t>
            </w:r>
          </w:p>
        </w:tc>
        <w:tc>
          <w:tcPr>
            <w:tcW w:w="164"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69" w:type="dxa"/>
            <w:tcBorders/>
            <w:shd w:fill="CCEEFF" w:val="clear"/>
            <w:vAlign w:val="bottom"/>
          </w:tcPr>
          <w:p>
            <w:pPr>
              <w:pStyle w:val="TableContents"/>
              <w:bidi w:val="0"/>
              <w:spacing w:before="0" w:after="283"/>
              <w:jc w:val="right"/>
              <w:rPr/>
            </w:pPr>
            <w:r>
              <w:rPr/>
              <w:t>7,391</w:t>
            </w:r>
          </w:p>
        </w:tc>
        <w:tc>
          <w:tcPr>
            <w:tcW w:w="159"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(898</w:t>
            </w:r>
          </w:p>
        </w:tc>
        <w:tc>
          <w:tcPr>
            <w:tcW w:w="164"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right"/>
              <w:rPr/>
            </w:pPr>
            <w:r>
              <w:rPr/>
              <w:t>(2,679</w:t>
            </w:r>
          </w:p>
        </w:tc>
        <w:tc>
          <w:tcPr>
            <w:tcW w:w="159"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3,524</w:t>
            </w:r>
          </w:p>
        </w:tc>
        <w:tc>
          <w:tcPr>
            <w:tcW w:w="164"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69" w:type="dxa"/>
            <w:tcBorders/>
            <w:shd w:fill="CCEEFF" w:val="clear"/>
            <w:vAlign w:val="bottom"/>
          </w:tcPr>
          <w:p>
            <w:pPr>
              <w:pStyle w:val="TableContents"/>
              <w:bidi w:val="0"/>
              <w:spacing w:before="0" w:after="283"/>
              <w:jc w:val="right"/>
              <w:rPr/>
            </w:pPr>
            <w:r>
              <w:rPr/>
              <w:t>4,712</w:t>
            </w:r>
          </w:p>
        </w:tc>
        <w:tc>
          <w:tcPr>
            <w:tcW w:w="159"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Depreciation expense of $0.8 million and $1.8 million was recognized during the years ended December 31, 2022 and 2023,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83"/>
        <w:gridCol w:w="378"/>
        <w:gridCol w:w="140"/>
        <w:gridCol w:w="755"/>
        <w:gridCol w:w="60"/>
        <w:gridCol w:w="378"/>
        <w:gridCol w:w="140"/>
        <w:gridCol w:w="755"/>
        <w:gridCol w:w="66"/>
      </w:tblGrid>
      <w:tr>
        <w:trPr/>
        <w:tc>
          <w:tcPr>
            <w:tcW w:w="508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22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6"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11,863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7,358</w:t>
            </w:r>
          </w:p>
        </w:tc>
        <w:tc>
          <w:tcPr>
            <w:tcW w:w="66"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Accrued rebates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2,514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367</w:t>
            </w:r>
          </w:p>
        </w:tc>
        <w:tc>
          <w:tcPr>
            <w:tcW w:w="66" w:type="dxa"/>
            <w:tcBorders/>
            <w:vAlign w:val="bottom"/>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exercise liability</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1,685</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714</w:t>
            </w:r>
          </w:p>
        </w:tc>
        <w:tc>
          <w:tcPr>
            <w:tcW w:w="66" w:type="dxa"/>
            <w:tcBorders/>
            <w:shd w:fill="CCEEFF" w:val="clear"/>
            <w:vAlign w:val="bottom"/>
          </w:tcPr>
          <w:p>
            <w:pPr>
              <w:pStyle w:val="TableContents"/>
              <w:bidi w:val="0"/>
              <w:spacing w:before="0" w:after="283"/>
              <w:jc w:val="left"/>
              <w:rPr/>
            </w:pPr>
            <w:r>
              <w:rPr/>
              <w:t> </w:t>
            </w:r>
          </w:p>
        </w:tc>
      </w:tr>
      <w:tr>
        <w:trPr/>
        <w:tc>
          <w:tcPr>
            <w:tcW w:w="5083"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1,597</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2,156</w:t>
            </w:r>
          </w:p>
        </w:tc>
        <w:tc>
          <w:tcPr>
            <w:tcW w:w="66" w:type="dxa"/>
            <w:tcBorders/>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0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17,659</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10,595</w:t>
            </w:r>
          </w:p>
        </w:tc>
        <w:tc>
          <w:tcPr>
            <w:tcW w:w="66" w:type="dxa"/>
            <w:tcBorders/>
            <w:shd w:fill="CCEEFF" w:val="clear"/>
            <w:vAlign w:val="bottom"/>
          </w:tcPr>
          <w:p>
            <w:pPr>
              <w:pStyle w:val="TableContents"/>
              <w:bidi w:val="0"/>
              <w:spacing w:before="0" w:after="283"/>
              <w:jc w:val="left"/>
              <w:rPr/>
            </w:pPr>
            <w:r>
              <w:rPr/>
              <w:t> </w:t>
            </w:r>
          </w:p>
        </w:tc>
      </w:tr>
      <w:tr>
        <w:trPr/>
        <w:tc>
          <w:tcPr>
            <w:tcW w:w="50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Marketable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amortized cost, gross unrealized gains and losses, and fair value of available-for-sale debt securities by major security type are as follows (in thousands):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781"/>
        <w:gridCol w:w="260"/>
        <w:gridCol w:w="187"/>
        <w:gridCol w:w="913"/>
        <w:gridCol w:w="60"/>
        <w:gridCol w:w="260"/>
        <w:gridCol w:w="631"/>
        <w:gridCol w:w="1161"/>
        <w:gridCol w:w="60"/>
        <w:gridCol w:w="260"/>
        <w:gridCol w:w="418"/>
        <w:gridCol w:w="1374"/>
        <w:gridCol w:w="154"/>
        <w:gridCol w:w="260"/>
        <w:gridCol w:w="140"/>
        <w:gridCol w:w="688"/>
        <w:gridCol w:w="67"/>
      </w:tblGrid>
      <w:tr>
        <w:trPr/>
        <w:tc>
          <w:tcPr>
            <w:tcW w:w="1781"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78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5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2022</w:t>
            </w:r>
          </w:p>
        </w:tc>
        <w:tc>
          <w:tcPr>
            <w:tcW w:w="67"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Unrealized</w:t>
              <w:br/>
              <w:t>Gains</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Unrealized</w:t>
              <w:br/>
              <w:t>Losses</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w:t>
            </w:r>
          </w:p>
        </w:tc>
        <w:tc>
          <w:tcPr>
            <w:tcW w:w="67"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11,743</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11,743</w:t>
            </w:r>
          </w:p>
        </w:tc>
        <w:tc>
          <w:tcPr>
            <w:tcW w:w="67"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1,998</w:t>
            </w:r>
          </w:p>
        </w:tc>
        <w:tc>
          <w:tcPr>
            <w:tcW w:w="67"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13,741</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13,741</w:t>
            </w:r>
          </w:p>
        </w:tc>
        <w:tc>
          <w:tcPr>
            <w:tcW w:w="67"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9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sz w:val="4"/>
                <w:szCs w:val="4"/>
              </w:rPr>
            </w:pPr>
            <w:r>
              <w:rPr>
                <w:sz w:val="4"/>
                <w:szCs w:val="4"/>
              </w:rPr>
            </w:r>
          </w:p>
        </w:tc>
        <w:tc>
          <w:tcPr>
            <w:tcW w:w="1374"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17,932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1374" w:type="dxa"/>
            <w:tcBorders/>
            <w:vAlign w:val="bottom"/>
          </w:tcPr>
          <w:p>
            <w:pPr>
              <w:pStyle w:val="TableContents"/>
              <w:bidi w:val="0"/>
              <w:spacing w:before="0" w:after="283"/>
              <w:jc w:val="right"/>
              <w:rPr/>
            </w:pPr>
            <w:r>
              <w:rPr/>
              <w:t>(143</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17,789</w:t>
            </w:r>
          </w:p>
        </w:tc>
        <w:tc>
          <w:tcPr>
            <w:tcW w:w="67"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28,718</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28,718</w:t>
            </w:r>
          </w:p>
        </w:tc>
        <w:tc>
          <w:tcPr>
            <w:tcW w:w="67" w:type="dxa"/>
            <w:tcBorders/>
            <w:shd w:fill="CCEEFF" w:val="clear"/>
            <w:vAlign w:val="bottom"/>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Corporate debt securities</w:t>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24,502</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46</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(43</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24,505</w:t>
            </w:r>
          </w:p>
        </w:tc>
        <w:tc>
          <w:tcPr>
            <w:tcW w:w="67" w:type="dxa"/>
            <w:tcBorders/>
            <w:vAlign w:val="bottom"/>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government bonds</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5,262</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374" w:type="dxa"/>
            <w:tcBorders/>
            <w:shd w:fill="CCEEFF" w:val="clear"/>
            <w:vAlign w:val="bottom"/>
          </w:tcPr>
          <w:p>
            <w:pPr>
              <w:pStyle w:val="TableContents"/>
              <w:bidi w:val="0"/>
              <w:spacing w:before="0" w:after="283"/>
              <w:jc w:val="right"/>
              <w:rPr/>
            </w:pPr>
            <w:r>
              <w:rPr/>
              <w:t>(31</w:t>
            </w:r>
          </w:p>
        </w:tc>
        <w:tc>
          <w:tcPr>
            <w:tcW w:w="15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5,234</w:t>
            </w:r>
          </w:p>
        </w:tc>
        <w:tc>
          <w:tcPr>
            <w:tcW w:w="67" w:type="dxa"/>
            <w:tcBorders/>
            <w:shd w:fill="CCEEFF" w:val="clear"/>
            <w:vAlign w:val="bottom"/>
          </w:tcPr>
          <w:p>
            <w:pPr>
              <w:pStyle w:val="TableContents"/>
              <w:bidi w:val="0"/>
              <w:spacing w:before="0" w:after="283"/>
              <w:jc w:val="left"/>
              <w:rPr/>
            </w:pPr>
            <w:r>
              <w:rPr/>
              <w:t> </w:t>
            </w:r>
          </w:p>
        </w:tc>
      </w:tr>
      <w:tr>
        <w:trPr/>
        <w:tc>
          <w:tcPr>
            <w:tcW w:w="1781" w:type="dxa"/>
            <w:tcBorders/>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10,871</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right"/>
              <w:rPr/>
            </w:pPr>
            <w:r>
              <w:rPr/>
              <w:t>(64</w:t>
            </w:r>
          </w:p>
        </w:tc>
        <w:tc>
          <w:tcPr>
            <w:tcW w:w="154"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10,810</w:t>
            </w:r>
          </w:p>
        </w:tc>
        <w:tc>
          <w:tcPr>
            <w:tcW w:w="67" w:type="dxa"/>
            <w:tcBorders/>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single" w:sz="2" w:space="1" w:color="000000"/>
              </w:pBdr>
              <w:bidi w:val="0"/>
              <w:spacing w:before="0" w:after="0"/>
              <w:jc w:val="left"/>
              <w:rPr/>
            </w:pPr>
            <w:r>
              <w:rPr/>
              <w:t> </w:t>
            </w:r>
          </w:p>
        </w:tc>
        <w:tc>
          <w:tcPr>
            <w:tcW w:w="1374"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2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87,285</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3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1374" w:type="dxa"/>
            <w:tcBorders/>
            <w:shd w:fill="CCEEFF" w:val="clear"/>
            <w:vAlign w:val="bottom"/>
          </w:tcPr>
          <w:p>
            <w:pPr>
              <w:pStyle w:val="TableContents"/>
              <w:bidi w:val="0"/>
              <w:spacing w:before="0" w:after="283"/>
              <w:jc w:val="right"/>
              <w:rPr/>
            </w:pPr>
            <w:r>
              <w:rPr/>
              <w:t>(281</w:t>
            </w:r>
          </w:p>
        </w:tc>
        <w:tc>
          <w:tcPr>
            <w:tcW w:w="154"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87,056</w:t>
            </w:r>
          </w:p>
        </w:tc>
        <w:tc>
          <w:tcPr>
            <w:tcW w:w="67" w:type="dxa"/>
            <w:tcBorders/>
            <w:shd w:fill="CCEEFF" w:val="clear"/>
            <w:vAlign w:val="bottom"/>
          </w:tcPr>
          <w:p>
            <w:pPr>
              <w:pStyle w:val="TableContents"/>
              <w:bidi w:val="0"/>
              <w:spacing w:before="0" w:after="283"/>
              <w:jc w:val="left"/>
              <w:rPr/>
            </w:pPr>
            <w:r>
              <w:rPr/>
              <w:t> </w:t>
            </w:r>
          </w:p>
        </w:tc>
      </w:tr>
      <w:tr>
        <w:trPr/>
        <w:tc>
          <w:tcPr>
            <w:tcW w:w="1781"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631"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18" w:type="dxa"/>
            <w:tcBorders/>
            <w:vAlign w:val="bottom"/>
          </w:tcPr>
          <w:p>
            <w:pPr>
              <w:pStyle w:val="TableContents"/>
              <w:pBdr>
                <w:top w:val="double" w:sz="6" w:space="1" w:color="000000"/>
              </w:pBdr>
              <w:bidi w:val="0"/>
              <w:spacing w:before="0" w:after="0"/>
              <w:jc w:val="left"/>
              <w:rPr/>
            </w:pPr>
            <w:r>
              <w:rPr/>
              <w:t> </w:t>
            </w:r>
          </w:p>
        </w:tc>
        <w:tc>
          <w:tcPr>
            <w:tcW w:w="1374"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714"/>
        <w:gridCol w:w="231"/>
        <w:gridCol w:w="163"/>
        <w:gridCol w:w="953"/>
        <w:gridCol w:w="60"/>
        <w:gridCol w:w="231"/>
        <w:gridCol w:w="477"/>
        <w:gridCol w:w="1332"/>
        <w:gridCol w:w="60"/>
        <w:gridCol w:w="231"/>
        <w:gridCol w:w="536"/>
        <w:gridCol w:w="1273"/>
        <w:gridCol w:w="155"/>
        <w:gridCol w:w="231"/>
        <w:gridCol w:w="140"/>
        <w:gridCol w:w="819"/>
        <w:gridCol w:w="68"/>
      </w:tblGrid>
      <w:tr>
        <w:trPr/>
        <w:tc>
          <w:tcPr>
            <w:tcW w:w="1714"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71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66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8" w:type="dxa"/>
            <w:tcBorders/>
            <w:vAlign w:val="bottom"/>
          </w:tcPr>
          <w:p>
            <w:pPr>
              <w:pStyle w:val="TableContents"/>
              <w:bidi w:val="0"/>
              <w:spacing w:before="0" w:after="283"/>
              <w:jc w:val="left"/>
              <w:rPr/>
            </w:pPr>
            <w:r>
              <w:rPr/>
              <w:t> </w:t>
            </w:r>
          </w:p>
        </w:tc>
      </w:tr>
      <w:tr>
        <w:trPr/>
        <w:tc>
          <w:tcPr>
            <w:tcW w:w="171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pPr>
            <w:r>
              <w:rPr>
                <w:b/>
              </w:rPr>
              <w:t>Amortized</w:t>
            </w:r>
            <w:r>
              <w:rPr/>
              <w:br/>
            </w:r>
            <w:r>
              <w:rPr>
                <w:b/>
              </w:rPr>
              <w:t>Cost</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Unrealized</w:t>
              <w:br/>
              <w:t>Gains</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 Unrealized</w:t>
              <w:br/>
              <w:t>Losses</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pPr>
            <w:r>
              <w:rPr>
                <w:b/>
              </w:rPr>
              <w:t>Fair</w:t>
            </w:r>
            <w:r>
              <w:rPr/>
              <w:br/>
            </w:r>
            <w:r>
              <w:rPr>
                <w:b/>
              </w:rPr>
              <w:t>Value</w:t>
            </w:r>
          </w:p>
        </w:tc>
        <w:tc>
          <w:tcPr>
            <w:tcW w:w="68" w:type="dxa"/>
            <w:tcBorders/>
            <w:vAlign w:val="bottom"/>
          </w:tcPr>
          <w:p>
            <w:pPr>
              <w:pStyle w:val="TableContents"/>
              <w:bidi w:val="0"/>
              <w:spacing w:before="0" w:after="283"/>
              <w:jc w:val="left"/>
              <w:rPr/>
            </w:pPr>
            <w:r>
              <w:rPr/>
              <w:t> </w:t>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13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sz w:val="4"/>
                <w:szCs w:val="4"/>
              </w:rPr>
            </w:pPr>
            <w:r>
              <w:rPr>
                <w:sz w:val="4"/>
                <w:szCs w:val="4"/>
              </w:rPr>
            </w:r>
          </w:p>
        </w:tc>
        <w:tc>
          <w:tcPr>
            <w:tcW w:w="12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757</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757</w:t>
            </w:r>
          </w:p>
        </w:tc>
        <w:tc>
          <w:tcPr>
            <w:tcW w:w="68" w:type="dxa"/>
            <w:tcBorders/>
            <w:vAlign w:val="bottom"/>
          </w:tcPr>
          <w:p>
            <w:pPr>
              <w:pStyle w:val="TableContents"/>
              <w:bidi w:val="0"/>
              <w:spacing w:before="0" w:after="283"/>
              <w:jc w:val="left"/>
              <w:rPr/>
            </w:pPr>
            <w:r>
              <w:rPr/>
              <w:t> </w:t>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472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472</w:t>
            </w:r>
          </w:p>
        </w:tc>
        <w:tc>
          <w:tcPr>
            <w:tcW w:w="68" w:type="dxa"/>
            <w:tcBorders/>
            <w:shd w:fill="CCEEFF" w:val="clear"/>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250</w:t>
            </w:r>
          </w:p>
        </w:tc>
        <w:tc>
          <w:tcPr>
            <w:tcW w:w="68" w:type="dxa"/>
            <w:tcBorders/>
            <w:vAlign w:val="bottom"/>
          </w:tcPr>
          <w:p>
            <w:pPr>
              <w:pStyle w:val="TableContents"/>
              <w:bidi w:val="0"/>
              <w:spacing w:before="0" w:after="283"/>
              <w:jc w:val="left"/>
              <w:rPr/>
            </w:pPr>
            <w:r>
              <w:rPr/>
              <w:t> </w:t>
            </w:r>
          </w:p>
        </w:tc>
      </w:tr>
      <w:tr>
        <w:trPr/>
        <w:tc>
          <w:tcPr>
            <w:tcW w:w="171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1,479</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1,479</w:t>
            </w:r>
          </w:p>
        </w:tc>
        <w:tc>
          <w:tcPr>
            <w:tcW w:w="68" w:type="dxa"/>
            <w:tcBorders/>
            <w:shd w:fill="CCEEFF" w:val="clear"/>
            <w:vAlign w:val="bottom"/>
          </w:tcPr>
          <w:p>
            <w:pPr>
              <w:pStyle w:val="TableContents"/>
              <w:bidi w:val="0"/>
              <w:spacing w:before="0" w:after="283"/>
              <w:jc w:val="left"/>
              <w:rPr/>
            </w:pPr>
            <w:r>
              <w:rPr/>
              <w:t> </w:t>
            </w:r>
          </w:p>
        </w:tc>
      </w:tr>
      <w:tr>
        <w:trPr/>
        <w:tc>
          <w:tcPr>
            <w:tcW w:w="171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sz w:val="4"/>
                <w:szCs w:val="4"/>
              </w:rPr>
            </w:pPr>
            <w:r>
              <w:rPr>
                <w:sz w:val="4"/>
                <w:szCs w:val="4"/>
              </w:rPr>
            </w:r>
          </w:p>
        </w:tc>
        <w:tc>
          <w:tcPr>
            <w:tcW w:w="127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59,856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60,003</w:t>
            </w:r>
          </w:p>
        </w:tc>
        <w:tc>
          <w:tcPr>
            <w:tcW w:w="68" w:type="dxa"/>
            <w:tcBorders/>
            <w:shd w:fill="CCEEFF" w:val="clear"/>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8,513</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8,508</w:t>
            </w:r>
          </w:p>
        </w:tc>
        <w:tc>
          <w:tcPr>
            <w:tcW w:w="68" w:type="dxa"/>
            <w:tcBorders/>
            <w:vAlign w:val="bottom"/>
          </w:tcPr>
          <w:p>
            <w:pPr>
              <w:pStyle w:val="TableContents"/>
              <w:bidi w:val="0"/>
              <w:spacing w:before="0" w:after="283"/>
              <w:jc w:val="left"/>
              <w:rPr/>
            </w:pPr>
            <w:r>
              <w:rPr/>
              <w:t> </w:t>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debt securities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23,552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23,639</w:t>
            </w:r>
          </w:p>
        </w:tc>
        <w:tc>
          <w:tcPr>
            <w:tcW w:w="68" w:type="dxa"/>
            <w:tcBorders/>
            <w:shd w:fill="CCEEFF" w:val="clear"/>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12,059</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12,065</w:t>
            </w:r>
          </w:p>
        </w:tc>
        <w:tc>
          <w:tcPr>
            <w:tcW w:w="68" w:type="dxa"/>
            <w:tcBorders/>
            <w:vAlign w:val="bottom"/>
          </w:tcPr>
          <w:p>
            <w:pPr>
              <w:pStyle w:val="TableContents"/>
              <w:bidi w:val="0"/>
              <w:spacing w:before="0" w:after="283"/>
              <w:jc w:val="left"/>
              <w:rPr/>
            </w:pPr>
            <w:r>
              <w:rPr/>
              <w:t> </w:t>
            </w:r>
          </w:p>
        </w:tc>
      </w:tr>
      <w:tr>
        <w:trPr/>
        <w:tc>
          <w:tcPr>
            <w:tcW w:w="171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103,980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321</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536"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104,215</w:t>
            </w:r>
          </w:p>
        </w:tc>
        <w:tc>
          <w:tcPr>
            <w:tcW w:w="68" w:type="dxa"/>
            <w:tcBorders/>
            <w:shd w:fill="CCEEFF" w:val="clear"/>
            <w:vAlign w:val="bottom"/>
          </w:tcPr>
          <w:p>
            <w:pPr>
              <w:pStyle w:val="TableContents"/>
              <w:bidi w:val="0"/>
              <w:spacing w:before="0" w:after="283"/>
              <w:jc w:val="left"/>
              <w:rPr/>
            </w:pPr>
            <w:r>
              <w:rPr/>
              <w:t> </w:t>
            </w:r>
          </w:p>
        </w:tc>
      </w:tr>
      <w:tr>
        <w:trPr/>
        <w:tc>
          <w:tcPr>
            <w:tcW w:w="1714"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477"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36"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2022 and 2023, the Companys marketable securities that were in a continuous loss position for 12 months or more, as well as the unrealized losses on those marketable securities, were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contractual maturities of marketable securities classified as available-for-sale, regardless of their classification on the Companys consolidated balance sheets, are as follows as of December 31, 2022 and 2023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99"/>
        <w:gridCol w:w="291"/>
        <w:gridCol w:w="243"/>
        <w:gridCol w:w="1439"/>
        <w:gridCol w:w="60"/>
        <w:gridCol w:w="291"/>
        <w:gridCol w:w="140"/>
        <w:gridCol w:w="868"/>
        <w:gridCol w:w="60"/>
        <w:gridCol w:w="291"/>
        <w:gridCol w:w="243"/>
        <w:gridCol w:w="1438"/>
        <w:gridCol w:w="60"/>
        <w:gridCol w:w="291"/>
        <w:gridCol w:w="140"/>
        <w:gridCol w:w="868"/>
        <w:gridCol w:w="66"/>
      </w:tblGrid>
      <w:tr>
        <w:trPr/>
        <w:tc>
          <w:tcPr>
            <w:tcW w:w="259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59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2022</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6" w:type="dxa"/>
            <w:tcBorders/>
            <w:vAlign w:val="bottom"/>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 Cost</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 Cost</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6" w:type="dxa"/>
            <w:tcBorders/>
            <w:vAlign w:val="bottom"/>
          </w:tcPr>
          <w:p>
            <w:pPr>
              <w:pStyle w:val="TableContents"/>
              <w:bidi w:val="0"/>
              <w:spacing w:before="0" w:after="283"/>
              <w:jc w:val="left"/>
              <w:rPr/>
            </w:pPr>
            <w:r>
              <w:rPr/>
              <w:t> </w:t>
            </w:r>
          </w:p>
        </w:tc>
      </w:tr>
      <w:tr>
        <w:trPr/>
        <w:tc>
          <w:tcPr>
            <w:tcW w:w="2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within one year</w:t>
            </w:r>
          </w:p>
        </w:tc>
        <w:tc>
          <w:tcPr>
            <w:tcW w:w="29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62,146</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62,067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65,816</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65,757</w:t>
            </w:r>
          </w:p>
        </w:tc>
        <w:tc>
          <w:tcPr>
            <w:tcW w:w="66" w:type="dxa"/>
            <w:tcBorders/>
            <w:shd w:fill="CCEEFF" w:val="clear"/>
            <w:vAlign w:val="bottom"/>
          </w:tcPr>
          <w:p>
            <w:pPr>
              <w:pStyle w:val="TableContents"/>
              <w:bidi w:val="0"/>
              <w:spacing w:before="0" w:after="283"/>
              <w:jc w:val="left"/>
              <w:rPr/>
            </w:pPr>
            <w:r>
              <w:rPr/>
              <w:t> </w:t>
            </w:r>
          </w:p>
        </w:tc>
      </w:tr>
      <w:tr>
        <w:trPr/>
        <w:tc>
          <w:tcPr>
            <w:tcW w:w="2599" w:type="dxa"/>
            <w:tcBorders/>
          </w:tcPr>
          <w:p>
            <w:pPr>
              <w:pStyle w:val="TableContents"/>
              <w:bidi w:val="0"/>
              <w:spacing w:before="0" w:after="0"/>
              <w:jc w:val="left"/>
              <w:rPr>
                <w:rFonts w:ascii="Times New Roman" w:hAnsi="Times New Roman"/>
                <w:sz w:val="20"/>
              </w:rPr>
            </w:pPr>
            <w:r>
              <w:rPr>
                <w:rFonts w:ascii="Times New Roman" w:hAnsi="Times New Roman"/>
                <w:sz w:val="20"/>
              </w:rPr>
              <w:t>Due after one year through two years</w:t>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38,880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38,730</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39,643</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39,937</w:t>
            </w:r>
          </w:p>
        </w:tc>
        <w:tc>
          <w:tcPr>
            <w:tcW w:w="66" w:type="dxa"/>
            <w:tcBorders/>
            <w:vAlign w:val="bottom"/>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4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29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101,026</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100,797</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438" w:type="dxa"/>
            <w:tcBorders/>
            <w:shd w:fill="CCEEFF" w:val="clear"/>
            <w:vAlign w:val="bottom"/>
          </w:tcPr>
          <w:p>
            <w:pPr>
              <w:pStyle w:val="TableContents"/>
              <w:bidi w:val="0"/>
              <w:spacing w:before="0" w:after="283"/>
              <w:jc w:val="right"/>
              <w:rPr/>
            </w:pPr>
            <w:r>
              <w:rPr/>
              <w:t>105,459</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105,694</w:t>
            </w:r>
          </w:p>
        </w:tc>
        <w:tc>
          <w:tcPr>
            <w:tcW w:w="66" w:type="dxa"/>
            <w:tcBorders/>
            <w:shd w:fill="CCEEFF" w:val="clear"/>
            <w:vAlign w:val="bottom"/>
          </w:tcPr>
          <w:p>
            <w:pPr>
              <w:pStyle w:val="TableContents"/>
              <w:bidi w:val="0"/>
              <w:spacing w:before="0" w:after="283"/>
              <w:jc w:val="left"/>
              <w:rPr/>
            </w:pPr>
            <w:r>
              <w:rPr/>
              <w:t> </w:t>
            </w:r>
          </w:p>
        </w:tc>
      </w:tr>
      <w:tr>
        <w:trPr/>
        <w:tc>
          <w:tcPr>
            <w:tcW w:w="2599"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4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Actual maturities may differ from contractual maturities because borrowers may have the right to call or prepay obligations with or without call or prepayment penalties.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recognize an allowance for credit losses against interest receivable as of December 31, 2022 and 2023 because such potential losses were not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were no material gross unrealized gains or losses from available-for-sale securities and no material realized gains or losses from available-for-sale securities that were reclassified out of accumulated other comprehensive (loss) income for the years ended December 31, 2022 and 2023. </w:t>
      </w:r>
    </w:p>
    <w:p>
      <w:pPr>
        <w:pStyle w:val="TextBody"/>
        <w:bidi w:val="0"/>
        <w:spacing w:before="240" w:after="0"/>
        <w:jc w:val="left"/>
        <w:rPr>
          <w:rFonts w:ascii="Times New Roman" w:hAnsi="Times New Roman"/>
          <w:sz w:val="20"/>
        </w:rPr>
      </w:pPr>
      <w:r>
        <w:rPr>
          <w:rFonts w:ascii="Times New Roman" w:hAnsi="Times New Roman"/>
          <w:sz w:val="20"/>
        </w:rPr>
        <w:t xml:space="preserve">There were no impairments as of December 31, 2022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Fair Value of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financial assets measured at fair value on a recurring basis based on the fair value hierarchy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0"/>
        <w:gridCol w:w="315"/>
        <w:gridCol w:w="140"/>
        <w:gridCol w:w="681"/>
        <w:gridCol w:w="60"/>
        <w:gridCol w:w="315"/>
        <w:gridCol w:w="140"/>
        <w:gridCol w:w="681"/>
        <w:gridCol w:w="60"/>
        <w:gridCol w:w="315"/>
        <w:gridCol w:w="396"/>
        <w:gridCol w:w="397"/>
        <w:gridCol w:w="60"/>
        <w:gridCol w:w="315"/>
        <w:gridCol w:w="191"/>
        <w:gridCol w:w="885"/>
        <w:gridCol w:w="67"/>
      </w:tblGrid>
      <w:tr>
        <w:trPr/>
        <w:tc>
          <w:tcPr>
            <w:tcW w:w="437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463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2022</w:t>
            </w:r>
          </w:p>
        </w:tc>
        <w:tc>
          <w:tcPr>
            <w:tcW w:w="67"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pPr>
            <w:r>
              <w:rPr>
                <w:b/>
              </w:rPr>
              <w:t>Total Fair</w:t>
            </w:r>
            <w:r>
              <w:rPr/>
              <w:br/>
            </w:r>
            <w:r>
              <w:rPr>
                <w:b/>
              </w:rPr>
              <w:t>Value</w:t>
            </w:r>
          </w:p>
        </w:tc>
        <w:tc>
          <w:tcPr>
            <w:tcW w:w="67" w:type="dxa"/>
            <w:tcBorders/>
            <w:vAlign w:val="bottom"/>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11,743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3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11,743</w:t>
            </w:r>
          </w:p>
        </w:tc>
        <w:tc>
          <w:tcPr>
            <w:tcW w:w="67" w:type="dxa"/>
            <w:tcBorders/>
            <w:vAlign w:val="bottom"/>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1,998</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1,998</w:t>
            </w:r>
          </w:p>
        </w:tc>
        <w:tc>
          <w:tcPr>
            <w:tcW w:w="67"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11,743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1,998</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3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13,741</w:t>
            </w:r>
          </w:p>
        </w:tc>
        <w:tc>
          <w:tcPr>
            <w:tcW w:w="67"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double" w:sz="6" w:space="1" w:color="000000"/>
              </w:pBdr>
              <w:bidi w:val="0"/>
              <w:spacing w:before="0" w:after="0"/>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17,789</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3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17,789</w:t>
            </w:r>
          </w:p>
        </w:tc>
        <w:tc>
          <w:tcPr>
            <w:tcW w:w="67" w:type="dxa"/>
            <w:tcBorders/>
            <w:vAlign w:val="bottom"/>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28,718</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28,718</w:t>
            </w:r>
          </w:p>
        </w:tc>
        <w:tc>
          <w:tcPr>
            <w:tcW w:w="67" w:type="dxa"/>
            <w:tcBorders/>
            <w:shd w:fill="CCEEFF" w:val="clear"/>
            <w:vAlign w:val="bottom"/>
          </w:tcPr>
          <w:p>
            <w:pPr>
              <w:pStyle w:val="TableContents"/>
              <w:bidi w:val="0"/>
              <w:spacing w:before="0" w:after="283"/>
              <w:jc w:val="left"/>
              <w:rPr/>
            </w:pPr>
            <w:r>
              <w:rPr/>
              <w:t> </w:t>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Corporate debt securities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24,505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24,505</w:t>
            </w:r>
          </w:p>
        </w:tc>
        <w:tc>
          <w:tcPr>
            <w:tcW w:w="67" w:type="dxa"/>
            <w:tcBorders/>
            <w:vAlign w:val="bottom"/>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government bonds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5,234</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5,234</w:t>
            </w:r>
          </w:p>
        </w:tc>
        <w:tc>
          <w:tcPr>
            <w:tcW w:w="67" w:type="dxa"/>
            <w:tcBorders/>
            <w:shd w:fill="CCEEFF" w:val="clear"/>
            <w:vAlign w:val="bottom"/>
          </w:tcPr>
          <w:p>
            <w:pPr>
              <w:pStyle w:val="TableContents"/>
              <w:bidi w:val="0"/>
              <w:spacing w:before="0" w:after="283"/>
              <w:jc w:val="left"/>
              <w:rPr/>
            </w:pPr>
            <w:r>
              <w:rPr/>
              <w:t> </w:t>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10,810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10,810</w:t>
            </w:r>
          </w:p>
        </w:tc>
        <w:tc>
          <w:tcPr>
            <w:tcW w:w="67"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single" w:sz="2" w:space="1" w:color="000000"/>
              </w:pBdr>
              <w:bidi w:val="0"/>
              <w:spacing w:before="0" w:after="0"/>
              <w:jc w:val="left"/>
              <w:rPr/>
            </w:pPr>
            <w:r>
              <w:rPr/>
              <w:t> </w:t>
            </w:r>
          </w:p>
        </w:tc>
        <w:tc>
          <w:tcPr>
            <w:tcW w:w="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87,056</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87,056</w:t>
            </w:r>
          </w:p>
        </w:tc>
        <w:tc>
          <w:tcPr>
            <w:tcW w:w="67"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396" w:type="dxa"/>
            <w:tcBorders/>
            <w:vAlign w:val="bottom"/>
          </w:tcPr>
          <w:p>
            <w:pPr>
              <w:pStyle w:val="TableContents"/>
              <w:pBdr>
                <w:top w:val="double" w:sz="6" w:space="1" w:color="000000"/>
              </w:pBdr>
              <w:bidi w:val="0"/>
              <w:spacing w:before="0" w:after="0"/>
              <w:jc w:val="left"/>
              <w:rPr/>
            </w:pPr>
            <w:r>
              <w:rPr/>
              <w:t> </w:t>
            </w:r>
          </w:p>
        </w:tc>
        <w:tc>
          <w:tcPr>
            <w:tcW w:w="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600" w:type="pct"/>
        <w:jc w:val="center"/>
        <w:tblInd w:w="0" w:type="dxa"/>
        <w:tblLayout w:type="fixed"/>
        <w:tblCellMar>
          <w:top w:w="0" w:type="dxa"/>
          <w:left w:w="0" w:type="dxa"/>
          <w:bottom w:w="0" w:type="dxa"/>
          <w:right w:w="0" w:type="dxa"/>
        </w:tblCellMar>
      </w:tblPr>
      <w:tblGrid>
        <w:gridCol w:w="4369"/>
        <w:gridCol w:w="317"/>
        <w:gridCol w:w="204"/>
        <w:gridCol w:w="572"/>
        <w:gridCol w:w="60"/>
        <w:gridCol w:w="317"/>
        <w:gridCol w:w="140"/>
        <w:gridCol w:w="809"/>
        <w:gridCol w:w="60"/>
        <w:gridCol w:w="317"/>
        <w:gridCol w:w="387"/>
        <w:gridCol w:w="388"/>
        <w:gridCol w:w="60"/>
        <w:gridCol w:w="317"/>
        <w:gridCol w:w="140"/>
        <w:gridCol w:w="866"/>
        <w:gridCol w:w="65"/>
      </w:tblGrid>
      <w:tr>
        <w:trPr/>
        <w:tc>
          <w:tcPr>
            <w:tcW w:w="436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6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463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5"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Total Fair</w:t>
            </w:r>
            <w:r>
              <w:rPr/>
              <w:br/>
            </w:r>
            <w:r>
              <w:rPr>
                <w:b/>
              </w:rPr>
              <w:t>Value</w:t>
            </w:r>
          </w:p>
        </w:tc>
        <w:tc>
          <w:tcPr>
            <w:tcW w:w="65"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757</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757</w:t>
            </w:r>
          </w:p>
        </w:tc>
        <w:tc>
          <w:tcPr>
            <w:tcW w:w="65"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472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472</w:t>
            </w:r>
          </w:p>
        </w:tc>
        <w:tc>
          <w:tcPr>
            <w:tcW w:w="65" w:type="dxa"/>
            <w:tcBorders/>
            <w:shd w:fill="CCEEFF" w:val="clear"/>
            <w:vAlign w:val="bottom"/>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250</w:t>
            </w:r>
          </w:p>
        </w:tc>
        <w:tc>
          <w:tcPr>
            <w:tcW w:w="65"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equivalents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757</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722</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1,479</w:t>
            </w:r>
          </w:p>
        </w:tc>
        <w:tc>
          <w:tcPr>
            <w:tcW w:w="65" w:type="dxa"/>
            <w:tcBorders/>
            <w:shd w:fill="CCEEFF" w:val="clear"/>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6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treasury and agency securities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60,003</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60,003</w:t>
            </w:r>
          </w:p>
        </w:tc>
        <w:tc>
          <w:tcPr>
            <w:tcW w:w="65" w:type="dxa"/>
            <w:tcBorders/>
            <w:shd w:fill="CCEEFF" w:val="clear"/>
            <w:vAlign w:val="bottom"/>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Commercial paper</w:t>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8,508</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8,508</w:t>
            </w:r>
          </w:p>
        </w:tc>
        <w:tc>
          <w:tcPr>
            <w:tcW w:w="65" w:type="dxa"/>
            <w:tcBorders/>
            <w:vAlign w:val="bottom"/>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debt securities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23,639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23,639</w:t>
            </w:r>
          </w:p>
        </w:tc>
        <w:tc>
          <w:tcPr>
            <w:tcW w:w="65" w:type="dxa"/>
            <w:tcBorders/>
            <w:shd w:fill="CCEEFF" w:val="clear"/>
            <w:vAlign w:val="bottom"/>
          </w:tcPr>
          <w:p>
            <w:pPr>
              <w:pStyle w:val="TableContents"/>
              <w:bidi w:val="0"/>
              <w:spacing w:before="0" w:after="283"/>
              <w:jc w:val="left"/>
              <w:rPr/>
            </w:pPr>
            <w:r>
              <w:rPr/>
              <w:t> </w:t>
            </w:r>
          </w:p>
        </w:tc>
      </w:tr>
      <w:tr>
        <w:trPr/>
        <w:tc>
          <w:tcPr>
            <w:tcW w:w="4369" w:type="dxa"/>
            <w:tcBorders/>
          </w:tcPr>
          <w:p>
            <w:pPr>
              <w:pStyle w:val="TableContents"/>
              <w:bidi w:val="0"/>
              <w:spacing w:before="0" w:after="0"/>
              <w:jc w:val="left"/>
              <w:rPr>
                <w:rFonts w:ascii="Times New Roman" w:hAnsi="Times New Roman"/>
                <w:sz w:val="20"/>
              </w:rPr>
            </w:pPr>
            <w:r>
              <w:rPr>
                <w:rFonts w:ascii="Times New Roman" w:hAnsi="Times New Roman"/>
                <w:sz w:val="20"/>
              </w:rPr>
              <w:t>Asset-backed securities</w:t>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12,065</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12,065</w:t>
            </w:r>
          </w:p>
        </w:tc>
        <w:tc>
          <w:tcPr>
            <w:tcW w:w="65" w:type="dxa"/>
            <w:tcBorders/>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marketable securities</w:t>
            </w:r>
          </w:p>
        </w:tc>
        <w:tc>
          <w:tcPr>
            <w:tcW w:w="3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104,215</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104,215</w:t>
            </w:r>
          </w:p>
        </w:tc>
        <w:tc>
          <w:tcPr>
            <w:tcW w:w="65" w:type="dxa"/>
            <w:tcBorders/>
            <w:shd w:fill="CCEEFF" w:val="clear"/>
            <w:vAlign w:val="bottom"/>
          </w:tcPr>
          <w:p>
            <w:pPr>
              <w:pStyle w:val="TableContents"/>
              <w:bidi w:val="0"/>
              <w:spacing w:before="0" w:after="283"/>
              <w:jc w:val="left"/>
              <w:rPr/>
            </w:pPr>
            <w:r>
              <w:rPr/>
              <w:t> </w:t>
            </w:r>
          </w:p>
        </w:tc>
      </w:tr>
      <w:tr>
        <w:trPr/>
        <w:tc>
          <w:tcPr>
            <w:tcW w:w="436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387"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operating lease for corporate offices in the U.S., Canada, Israel, and Taiwan. The Companys lease payments consist primarily of fixed rental payments for the right to use the underlying leased assets over the lease terms for all leases. </w:t>
      </w:r>
    </w:p>
    <w:p>
      <w:pPr>
        <w:pStyle w:val="TextBody"/>
        <w:bidi w:val="0"/>
        <w:spacing w:before="240" w:after="0"/>
        <w:jc w:val="left"/>
        <w:rPr>
          <w:rFonts w:ascii="Times New Roman" w:hAnsi="Times New Roman"/>
          <w:sz w:val="20"/>
        </w:rPr>
      </w:pPr>
      <w:r>
        <w:rPr>
          <w:rFonts w:ascii="Times New Roman" w:hAnsi="Times New Roman"/>
          <w:sz w:val="20"/>
        </w:rPr>
        <w:t xml:space="preserve">Supplemental balance sheet information related to the Companys operating leases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5"/>
        <w:gridCol w:w="384"/>
        <w:gridCol w:w="143"/>
        <w:gridCol w:w="572"/>
        <w:gridCol w:w="60"/>
        <w:gridCol w:w="384"/>
        <w:gridCol w:w="143"/>
        <w:gridCol w:w="572"/>
        <w:gridCol w:w="62"/>
      </w:tblGrid>
      <w:tr>
        <w:trPr/>
        <w:tc>
          <w:tcPr>
            <w:tcW w:w="543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 net</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1,765</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2,869</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1,597</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2,156</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361</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778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1,958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2,934</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Operating lease ROU assets, net is included in other assets; operating lease liabilities, current is included in accrued expenses and other current liabilities; and operating lease liabilities, non-current is included in other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the Company extended the operating lease for its corporate headquarters in Santa Clara, California from the original expiration date in December 2023 to April 2025. In December 2023, the Company entered into new leases for additional spaces for its corporate headquarters with lease commencement date in January 2024 and a lease period expiration date in April 2025.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included in operating expenses,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64"/>
        <w:gridCol w:w="475"/>
        <w:gridCol w:w="244"/>
        <w:gridCol w:w="981"/>
        <w:gridCol w:w="104"/>
        <w:gridCol w:w="594"/>
        <w:gridCol w:w="244"/>
        <w:gridCol w:w="984"/>
        <w:gridCol w:w="65"/>
      </w:tblGrid>
      <w:tr>
        <w:trPr/>
        <w:tc>
          <w:tcPr>
            <w:tcW w:w="4064"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64"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31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4064"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0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5" w:type="dxa"/>
            <w:tcBorders/>
            <w:vAlign w:val="bottom"/>
          </w:tcPr>
          <w:p>
            <w:pPr>
              <w:pStyle w:val="TableContents"/>
              <w:bidi w:val="0"/>
              <w:spacing w:before="0" w:after="283"/>
              <w:jc w:val="left"/>
              <w:rPr/>
            </w:pPr>
            <w:r>
              <w:rPr/>
              <w:t> </w:t>
            </w:r>
          </w:p>
        </w:tc>
      </w:tr>
      <w:tr>
        <w:trPr/>
        <w:tc>
          <w:tcPr>
            <w:tcW w:w="4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47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81" w:type="dxa"/>
            <w:tcBorders/>
            <w:shd w:fill="CCEEFF" w:val="clear"/>
            <w:vAlign w:val="bottom"/>
          </w:tcPr>
          <w:p>
            <w:pPr>
              <w:pStyle w:val="TableContents"/>
              <w:bidi w:val="0"/>
              <w:spacing w:before="0" w:after="283"/>
              <w:jc w:val="right"/>
              <w:rPr/>
            </w:pPr>
            <w:r>
              <w:rPr/>
              <w:t>1,448</w:t>
            </w:r>
          </w:p>
        </w:tc>
        <w:tc>
          <w:tcPr>
            <w:tcW w:w="104"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1,640</w:t>
            </w:r>
          </w:p>
        </w:tc>
        <w:tc>
          <w:tcPr>
            <w:tcW w:w="65" w:type="dxa"/>
            <w:tcBorders/>
            <w:shd w:fill="CCEEFF" w:val="clear"/>
            <w:vAlign w:val="bottom"/>
          </w:tcPr>
          <w:p>
            <w:pPr>
              <w:pStyle w:val="TableContents"/>
              <w:bidi w:val="0"/>
              <w:spacing w:before="0" w:after="283"/>
              <w:jc w:val="left"/>
              <w:rPr/>
            </w:pPr>
            <w:r>
              <w:rPr/>
              <w:t> </w:t>
            </w:r>
          </w:p>
        </w:tc>
      </w:tr>
      <w:tr>
        <w:trPr/>
        <w:tc>
          <w:tcPr>
            <w:tcW w:w="4064"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47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602</w:t>
            </w:r>
          </w:p>
        </w:tc>
        <w:tc>
          <w:tcPr>
            <w:tcW w:w="10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200</w:t>
            </w:r>
          </w:p>
        </w:tc>
        <w:tc>
          <w:tcPr>
            <w:tcW w:w="65" w:type="dxa"/>
            <w:tcBorders/>
            <w:vAlign w:val="bottom"/>
          </w:tcPr>
          <w:p>
            <w:pPr>
              <w:pStyle w:val="TableContents"/>
              <w:bidi w:val="0"/>
              <w:spacing w:before="0" w:after="283"/>
              <w:jc w:val="left"/>
              <w:rPr/>
            </w:pPr>
            <w:r>
              <w:rPr/>
              <w:t> </w:t>
            </w:r>
          </w:p>
        </w:tc>
      </w:tr>
      <w:tr>
        <w:trPr/>
        <w:tc>
          <w:tcPr>
            <w:tcW w:w="4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47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89</w:t>
            </w:r>
          </w:p>
        </w:tc>
        <w:tc>
          <w:tcPr>
            <w:tcW w:w="104"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310</w:t>
            </w:r>
          </w:p>
        </w:tc>
        <w:tc>
          <w:tcPr>
            <w:tcW w:w="65" w:type="dxa"/>
            <w:tcBorders/>
            <w:shd w:fill="CCEEFF" w:val="clear"/>
            <w:vAlign w:val="bottom"/>
          </w:tcPr>
          <w:p>
            <w:pPr>
              <w:pStyle w:val="TableContents"/>
              <w:bidi w:val="0"/>
              <w:spacing w:before="0" w:after="283"/>
              <w:jc w:val="left"/>
              <w:rPr/>
            </w:pPr>
            <w:r>
              <w:rPr/>
              <w:t> </w:t>
            </w:r>
          </w:p>
        </w:tc>
      </w:tr>
      <w:tr>
        <w:trPr/>
        <w:tc>
          <w:tcPr>
            <w:tcW w:w="4064"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64"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47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81" w:type="dxa"/>
            <w:tcBorders/>
            <w:vAlign w:val="bottom"/>
          </w:tcPr>
          <w:p>
            <w:pPr>
              <w:pStyle w:val="TableContents"/>
              <w:bidi w:val="0"/>
              <w:spacing w:before="0" w:after="283"/>
              <w:jc w:val="right"/>
              <w:rPr/>
            </w:pPr>
            <w:r>
              <w:rPr/>
              <w:t>2,139</w:t>
            </w:r>
          </w:p>
        </w:tc>
        <w:tc>
          <w:tcPr>
            <w:tcW w:w="10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2,150</w:t>
            </w:r>
          </w:p>
        </w:tc>
        <w:tc>
          <w:tcPr>
            <w:tcW w:w="65" w:type="dxa"/>
            <w:tcBorders/>
            <w:vAlign w:val="bottom"/>
          </w:tcPr>
          <w:p>
            <w:pPr>
              <w:pStyle w:val="TableContents"/>
              <w:bidi w:val="0"/>
              <w:spacing w:before="0" w:after="283"/>
              <w:jc w:val="left"/>
              <w:rPr/>
            </w:pPr>
            <w:r>
              <w:rPr/>
              <w:t> </w:t>
            </w:r>
          </w:p>
        </w:tc>
      </w:tr>
      <w:tr>
        <w:trPr/>
        <w:tc>
          <w:tcPr>
            <w:tcW w:w="4064"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81"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weighted-average remaining lease term and discount rates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56"/>
        <w:gridCol w:w="502"/>
        <w:gridCol w:w="95"/>
        <w:gridCol w:w="511"/>
        <w:gridCol w:w="447"/>
        <w:gridCol w:w="430"/>
        <w:gridCol w:w="95"/>
        <w:gridCol w:w="738"/>
        <w:gridCol w:w="281"/>
      </w:tblGrid>
      <w:tr>
        <w:trPr/>
        <w:tc>
          <w:tcPr>
            <w:tcW w:w="4656"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656"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2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81" w:type="dxa"/>
            <w:tcBorders/>
            <w:vAlign w:val="bottom"/>
          </w:tcPr>
          <w:p>
            <w:pPr>
              <w:pStyle w:val="TableContents"/>
              <w:bidi w:val="0"/>
              <w:spacing w:before="0" w:after="283"/>
              <w:jc w:val="left"/>
              <w:rPr/>
            </w:pPr>
            <w:r>
              <w:rPr/>
              <w:t> </w:t>
            </w:r>
          </w:p>
        </w:tc>
      </w:tr>
      <w:tr>
        <w:trPr/>
        <w:tc>
          <w:tcPr>
            <w:tcW w:w="4656"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6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44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1" w:type="dxa"/>
            <w:tcBorders/>
            <w:vAlign w:val="bottom"/>
          </w:tcPr>
          <w:p>
            <w:pPr>
              <w:pStyle w:val="TableContents"/>
              <w:bidi w:val="0"/>
              <w:spacing w:before="0" w:after="283"/>
              <w:jc w:val="left"/>
              <w:rPr/>
            </w:pPr>
            <w:r>
              <w:rPr/>
              <w:t> </w:t>
            </w:r>
          </w:p>
        </w:tc>
      </w:tr>
      <w:tr>
        <w:trPr/>
        <w:tc>
          <w:tcPr>
            <w:tcW w:w="46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(in years)</w:t>
            </w:r>
          </w:p>
        </w:tc>
        <w:tc>
          <w:tcPr>
            <w:tcW w:w="5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1.4</w:t>
            </w:r>
          </w:p>
        </w:tc>
        <w:tc>
          <w:tcPr>
            <w:tcW w:w="447"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1.4</w:t>
            </w:r>
          </w:p>
        </w:tc>
        <w:tc>
          <w:tcPr>
            <w:tcW w:w="281" w:type="dxa"/>
            <w:tcBorders/>
            <w:shd w:fill="CCEEFF" w:val="clear"/>
            <w:vAlign w:val="bottom"/>
          </w:tcPr>
          <w:p>
            <w:pPr>
              <w:pStyle w:val="TableContents"/>
              <w:bidi w:val="0"/>
              <w:spacing w:before="0" w:after="283"/>
              <w:jc w:val="left"/>
              <w:rPr/>
            </w:pPr>
            <w:r>
              <w:rPr/>
              <w:t> </w:t>
            </w:r>
          </w:p>
        </w:tc>
      </w:tr>
      <w:tr>
        <w:trPr/>
        <w:tc>
          <w:tcPr>
            <w:tcW w:w="4656"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5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6.0</w:t>
            </w:r>
          </w:p>
        </w:tc>
        <w:tc>
          <w:tcPr>
            <w:tcW w:w="447"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10.8</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information related to operating leases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52"/>
        <w:gridCol w:w="452"/>
        <w:gridCol w:w="245"/>
        <w:gridCol w:w="982"/>
        <w:gridCol w:w="104"/>
        <w:gridCol w:w="525"/>
        <w:gridCol w:w="245"/>
        <w:gridCol w:w="986"/>
        <w:gridCol w:w="64"/>
      </w:tblGrid>
      <w:tr>
        <w:trPr/>
        <w:tc>
          <w:tcPr>
            <w:tcW w:w="4152"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0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4" w:type="dxa"/>
            <w:tcBorders/>
            <w:vAlign w:val="bottom"/>
          </w:tcPr>
          <w:p>
            <w:pPr>
              <w:pStyle w:val="TableContents"/>
              <w:bidi w:val="0"/>
              <w:spacing w:before="0" w:after="283"/>
              <w:jc w:val="left"/>
              <w:rPr/>
            </w:pPr>
            <w:r>
              <w:rPr/>
              <w:t> </w:t>
            </w:r>
          </w:p>
        </w:tc>
      </w:tr>
      <w:tr>
        <w:trPr/>
        <w:tc>
          <w:tcPr>
            <w:tcW w:w="4152"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04"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w:t>
            </w:r>
          </w:p>
        </w:tc>
        <w:tc>
          <w:tcPr>
            <w:tcW w:w="64" w:type="dxa"/>
            <w:tcBorders/>
            <w:vAlign w:val="bottom"/>
          </w:tcPr>
          <w:p>
            <w:pPr>
              <w:pStyle w:val="TableContents"/>
              <w:bidi w:val="0"/>
              <w:spacing w:before="0" w:after="283"/>
              <w:jc w:val="left"/>
              <w:rPr/>
            </w:pPr>
            <w:r>
              <w:rPr/>
              <w:t> </w:t>
            </w:r>
          </w:p>
        </w:tc>
      </w:tr>
      <w:tr>
        <w:trPr/>
        <w:tc>
          <w:tcPr>
            <w:tcW w:w="41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cash flows information:</w:t>
            </w:r>
          </w:p>
        </w:tc>
        <w:tc>
          <w:tcPr>
            <w:tcW w:w="45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52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1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from operating leases</w:t>
            </w:r>
          </w:p>
        </w:tc>
        <w:tc>
          <w:tcPr>
            <w:tcW w:w="45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1,320</w:t>
            </w:r>
          </w:p>
        </w:tc>
        <w:tc>
          <w:tcPr>
            <w:tcW w:w="104"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1,346</w:t>
            </w:r>
          </w:p>
        </w:tc>
        <w:tc>
          <w:tcPr>
            <w:tcW w:w="64" w:type="dxa"/>
            <w:tcBorders/>
            <w:vAlign w:val="bottom"/>
          </w:tcPr>
          <w:p>
            <w:pPr>
              <w:pStyle w:val="TableContents"/>
              <w:bidi w:val="0"/>
              <w:spacing w:before="0" w:after="283"/>
              <w:jc w:val="left"/>
              <w:rPr/>
            </w:pPr>
            <w:r>
              <w:rPr/>
              <w:t> </w:t>
            </w:r>
          </w:p>
        </w:tc>
      </w:tr>
      <w:tr>
        <w:trPr/>
        <w:tc>
          <w:tcPr>
            <w:tcW w:w="41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obligations</w:t>
            </w:r>
          </w:p>
        </w:tc>
        <w:tc>
          <w:tcPr>
            <w:tcW w:w="452"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2,018</w:t>
            </w:r>
          </w:p>
        </w:tc>
        <w:tc>
          <w:tcPr>
            <w:tcW w:w="104"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2,336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future minimum operating lease payments for each of the next five years and thereafter are as follows as of December 31, 2023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86"/>
        <w:gridCol w:w="670"/>
        <w:gridCol w:w="358"/>
        <w:gridCol w:w="1467"/>
        <w:gridCol w:w="158"/>
      </w:tblGrid>
      <w:tr>
        <w:trPr/>
        <w:tc>
          <w:tcPr>
            <w:tcW w:w="4286"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Years ending December 31</w:t>
            </w:r>
          </w:p>
        </w:tc>
        <w:tc>
          <w:tcPr>
            <w:tcW w:w="670"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7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467" w:type="dxa"/>
            <w:tcBorders/>
            <w:shd w:fill="CCEEFF" w:val="clear"/>
            <w:vAlign w:val="bottom"/>
          </w:tcPr>
          <w:p>
            <w:pPr>
              <w:pStyle w:val="TableContents"/>
              <w:bidi w:val="0"/>
              <w:spacing w:before="0" w:after="283"/>
              <w:jc w:val="right"/>
              <w:rPr/>
            </w:pPr>
            <w:r>
              <w:rPr/>
              <w:t>2,352</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right"/>
              <w:rPr/>
            </w:pPr>
            <w:r>
              <w:rPr/>
              <w:t>885</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pBdr>
                <w:top w:val="single" w:sz="2" w:space="1" w:color="000000"/>
              </w:pBdr>
              <w:bidi w:val="0"/>
              <w:spacing w:before="0" w:after="0"/>
              <w:jc w:val="left"/>
              <w:rPr/>
            </w:pPr>
            <w:r>
              <w:rPr/>
              <w:t> </w:t>
            </w:r>
          </w:p>
        </w:tc>
        <w:tc>
          <w:tcPr>
            <w:tcW w:w="14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future minimum lease payments</w:t>
            </w:r>
          </w:p>
        </w:tc>
        <w:tc>
          <w:tcPr>
            <w:tcW w:w="67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67" w:type="dxa"/>
            <w:tcBorders/>
            <w:shd w:fill="CCEEFF" w:val="clear"/>
            <w:vAlign w:val="bottom"/>
          </w:tcPr>
          <w:p>
            <w:pPr>
              <w:pStyle w:val="TableContents"/>
              <w:bidi w:val="0"/>
              <w:spacing w:before="0" w:after="283"/>
              <w:jc w:val="right"/>
              <w:rPr/>
            </w:pPr>
            <w:r>
              <w:rPr/>
              <w:t>3,237</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pBdr>
                <w:top w:val="single" w:sz="2" w:space="1" w:color="000000"/>
              </w:pBdr>
              <w:bidi w:val="0"/>
              <w:spacing w:before="0" w:after="0"/>
              <w:jc w:val="left"/>
              <w:rPr/>
            </w:pPr>
            <w:r>
              <w:rPr/>
              <w:t> </w:t>
            </w:r>
          </w:p>
        </w:tc>
        <w:tc>
          <w:tcPr>
            <w:tcW w:w="14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67" w:type="dxa"/>
            <w:tcBorders/>
            <w:vAlign w:val="bottom"/>
          </w:tcPr>
          <w:p>
            <w:pPr>
              <w:pStyle w:val="TableContents"/>
              <w:bidi w:val="0"/>
              <w:spacing w:before="0" w:after="283"/>
              <w:jc w:val="right"/>
              <w:rPr/>
            </w:pPr>
            <w:r>
              <w:rPr/>
              <w:t>(303</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pBdr>
                <w:top w:val="single" w:sz="2" w:space="1" w:color="000000"/>
              </w:pBdr>
              <w:bidi w:val="0"/>
              <w:spacing w:before="0" w:after="0"/>
              <w:jc w:val="left"/>
              <w:rPr/>
            </w:pPr>
            <w:r>
              <w:rPr/>
              <w:t> </w:t>
            </w:r>
          </w:p>
        </w:tc>
        <w:tc>
          <w:tcPr>
            <w:tcW w:w="14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67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w:t>
            </w:r>
          </w:p>
        </w:tc>
        <w:tc>
          <w:tcPr>
            <w:tcW w:w="1467" w:type="dxa"/>
            <w:tcBorders/>
            <w:shd w:fill="CCEEFF" w:val="clear"/>
            <w:vAlign w:val="bottom"/>
          </w:tcPr>
          <w:p>
            <w:pPr>
              <w:pStyle w:val="TableContents"/>
              <w:bidi w:val="0"/>
              <w:spacing w:before="0" w:after="283"/>
              <w:jc w:val="right"/>
              <w:rPr/>
            </w:pPr>
            <w:r>
              <w:rPr/>
              <w:t>2,934</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pPr>
            <w:r>
              <w:rPr/>
              <w:t>  </w:t>
            </w:r>
          </w:p>
        </w:tc>
        <w:tc>
          <w:tcPr>
            <w:tcW w:w="358" w:type="dxa"/>
            <w:tcBorders/>
            <w:vAlign w:val="bottom"/>
          </w:tcPr>
          <w:p>
            <w:pPr>
              <w:pStyle w:val="TableContents"/>
              <w:pBdr>
                <w:top w:val="double" w:sz="6" w:space="1" w:color="000000"/>
              </w:pBdr>
              <w:bidi w:val="0"/>
              <w:spacing w:before="0" w:after="0"/>
              <w:jc w:val="left"/>
              <w:rPr/>
            </w:pPr>
            <w:r>
              <w:rPr/>
              <w:t> </w:t>
            </w:r>
          </w:p>
        </w:tc>
        <w:tc>
          <w:tcPr>
            <w:tcW w:w="14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February 1, 2024, the Company entered into an agreement to extend the lease for the corporate headquarter from April 2025 to May 2025 for an additional rent payment of $0.2 million, which is excluded from the future minimum operating lease payment table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utilizes third-party subcontractors to manufacture wafers and other inventory parts. The Companys subcontractor contractual relationships typically allow for the cancellation of outstanding purchase orders but require payment of all expenses incurred through the date of cancellation. As of December 31, 2022 and 2023, the Company did not have any such material firm purchase commitments.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purchase commitments include payments for software licenses when there is a fixed, non-cancellable payment schedule or when minimum payments are due according to a delivery schedule. As of December 31, 2023, the Company is committed to make the following minimum payments under its purchase commitments for software licenses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83"/>
        <w:gridCol w:w="605"/>
        <w:gridCol w:w="290"/>
        <w:gridCol w:w="1199"/>
        <w:gridCol w:w="62"/>
      </w:tblGrid>
      <w:tr>
        <w:trPr/>
        <w:tc>
          <w:tcPr>
            <w:tcW w:w="4783" w:type="dxa"/>
            <w:tcBorders/>
            <w:vAlign w:val="center"/>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Years ending December 31</w:t>
            </w:r>
          </w:p>
        </w:tc>
        <w:tc>
          <w:tcPr>
            <w:tcW w:w="605"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Purchase</w:t>
              <w:br/>
              <w:t>Commitments</w:t>
            </w:r>
          </w:p>
        </w:tc>
        <w:tc>
          <w:tcPr>
            <w:tcW w:w="62" w:type="dxa"/>
            <w:tcBorders/>
            <w:vAlign w:val="bottom"/>
          </w:tcPr>
          <w:p>
            <w:pPr>
              <w:pStyle w:val="TableContents"/>
              <w:bidi w:val="0"/>
              <w:spacing w:before="0" w:after="283"/>
              <w:jc w:val="left"/>
              <w:rPr/>
            </w:pPr>
            <w:r>
              <w:rPr/>
              <w:t> </w:t>
            </w:r>
          </w:p>
        </w:tc>
      </w:tr>
      <w:tr>
        <w:trPr/>
        <w:tc>
          <w:tcPr>
            <w:tcW w:w="4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2,119</w:t>
            </w:r>
          </w:p>
        </w:tc>
        <w:tc>
          <w:tcPr>
            <w:tcW w:w="62" w:type="dxa"/>
            <w:tcBorders/>
            <w:shd w:fill="CCEEFF" w:val="clear"/>
            <w:vAlign w:val="bottom"/>
          </w:tcPr>
          <w:p>
            <w:pPr>
              <w:pStyle w:val="TableContents"/>
              <w:bidi w:val="0"/>
              <w:spacing w:before="0" w:after="283"/>
              <w:jc w:val="left"/>
              <w:rPr/>
            </w:pPr>
            <w:r>
              <w:rPr/>
              <w:t> </w:t>
            </w:r>
          </w:p>
        </w:tc>
      </w:tr>
      <w:tr>
        <w:trPr/>
        <w:tc>
          <w:tcPr>
            <w:tcW w:w="4783"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1,587</w:t>
            </w:r>
          </w:p>
        </w:tc>
        <w:tc>
          <w:tcPr>
            <w:tcW w:w="62" w:type="dxa"/>
            <w:tcBorders/>
            <w:vAlign w:val="bottom"/>
          </w:tcPr>
          <w:p>
            <w:pPr>
              <w:pStyle w:val="TableContents"/>
              <w:bidi w:val="0"/>
              <w:spacing w:before="0" w:after="283"/>
              <w:jc w:val="left"/>
              <w:rPr/>
            </w:pPr>
            <w:r>
              <w:rPr/>
              <w:t> </w:t>
            </w:r>
          </w:p>
        </w:tc>
      </w:tr>
      <w:tr>
        <w:trPr/>
        <w:tc>
          <w:tcPr>
            <w:tcW w:w="4783"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purchase commitments</w:t>
            </w:r>
          </w:p>
        </w:tc>
        <w:tc>
          <w:tcPr>
            <w:tcW w:w="60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3,706</w:t>
            </w:r>
          </w:p>
        </w:tc>
        <w:tc>
          <w:tcPr>
            <w:tcW w:w="62" w:type="dxa"/>
            <w:tcBorders/>
            <w:shd w:fill="CCEEFF" w:val="clear"/>
            <w:vAlign w:val="bottom"/>
          </w:tcPr>
          <w:p>
            <w:pPr>
              <w:pStyle w:val="TableContents"/>
              <w:bidi w:val="0"/>
              <w:spacing w:before="0" w:after="283"/>
              <w:jc w:val="left"/>
              <w:rPr/>
            </w:pPr>
            <w:r>
              <w:rPr/>
              <w:t> </w:t>
            </w:r>
          </w:p>
        </w:tc>
      </w:tr>
      <w:tr>
        <w:trPr/>
        <w:tc>
          <w:tcPr>
            <w:tcW w:w="4783"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December 2022, the Company entered into a cloud service agreement with a vendor for three years. The arrangement provides cloud computing hosting services for the Companys research and development on designing the Companys future product offerings. The minimum purchase commitment is $2.0 million annually from 2024 through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subject to legal proceedings, claims, and litigation arising in the ordinary course of business. The Company is not currently a party to any material legal proceedings or claims, nor is the Company aware of any other pending or threatened legal proceedings or claims that could have a material adverse effect on the Companys business, operating results, cash flows, or financial condition should such legal proceedings or claims be resolved unfavorably.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often includes standard indemnification provisions in its arrangements with its members,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 the past incurred significant expense defending its licensees against third- party claims, nor has it incurred significant expense under its standard service warranties or arrangements with its members, partners, suppliers, and vendors. Accordingly, the Company had no liabilities recorded for these provisions as of December 31, 2022 and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Company raised $149.9 million, net of issuance costs of $0.1 million, through the issuance of 7.4 million shares of Series D redeemable convertible preferred stock priced at $20.34 per share. In connection with this transaction, certain existing employees sold 0.9 million shares of common stock to new and existing investors, which was exchanged for shares of Series D redeemable convertible preferred stock, on a one-to-one basis. All cash received related to the exchange was transferred to all selling shareholders. The Company recorded the exchange of common stock for preferred stock in additional paid-in capital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Redeemable convertible preferred stock has a par value of $0.0001 per share and comprises Series A preferred stock, Series A-1 preferred stock, Series B preferred stock, Series B-1 preferred stock, Series C preferred stock, and Series D preferred stock (collectively, the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Information relating to the Preferred Stock is as follows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5"/>
        <w:gridCol w:w="265"/>
        <w:gridCol w:w="231"/>
        <w:gridCol w:w="925"/>
        <w:gridCol w:w="60"/>
        <w:gridCol w:w="265"/>
        <w:gridCol w:w="95"/>
        <w:gridCol w:w="1127"/>
        <w:gridCol w:w="60"/>
        <w:gridCol w:w="265"/>
        <w:gridCol w:w="114"/>
        <w:gridCol w:w="1357"/>
        <w:gridCol w:w="60"/>
        <w:gridCol w:w="264"/>
        <w:gridCol w:w="143"/>
        <w:gridCol w:w="825"/>
        <w:gridCol w:w="60"/>
        <w:gridCol w:w="265"/>
        <w:gridCol w:w="181"/>
        <w:gridCol w:w="1092"/>
        <w:gridCol w:w="66"/>
      </w:tblGrid>
      <w:tr>
        <w:trPr/>
        <w:tc>
          <w:tcPr>
            <w:tcW w:w="248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8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738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 December 31, 2022 and 2023</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b/>
              </w:rPr>
            </w:pPr>
            <w:r>
              <w:rPr>
                <w:b/>
              </w:rPr>
              <w:t>Issue Title</w:t>
            </w:r>
          </w:p>
        </w:tc>
        <w:tc>
          <w:tcPr>
            <w:tcW w:w="265" w:type="dxa"/>
            <w:tcBorders/>
            <w:vAlign w:val="bottom"/>
          </w:tcPr>
          <w:p>
            <w:pPr>
              <w:pStyle w:val="TableContents"/>
              <w:bidi w:val="0"/>
              <w:spacing w:before="0" w:after="283"/>
              <w:jc w:val="left"/>
              <w:rPr/>
            </w:pPr>
            <w:r>
              <w:rPr/>
              <w:t>  </w:t>
            </w:r>
          </w:p>
        </w:tc>
        <w:tc>
          <w:tcPr>
            <w:tcW w:w="1156" w:type="dxa"/>
            <w:gridSpan w:val="2"/>
            <w:tcBorders>
              <w:bottom w:val="single" w:sz="8" w:space="0" w:color="000000"/>
            </w:tcBorders>
            <w:tcMar>
              <w:bottom w:w="28" w:type="dxa"/>
            </w:tcMar>
            <w:vAlign w:val="bottom"/>
          </w:tcPr>
          <w:p>
            <w:pPr>
              <w:pStyle w:val="TableContents"/>
              <w:bidi w:val="0"/>
              <w:spacing w:before="0" w:after="283"/>
              <w:jc w:val="center"/>
              <w:rPr/>
            </w:pPr>
            <w:r>
              <w:rPr>
                <w:b/>
              </w:rPr>
              <w:t>Original</w:t>
            </w:r>
            <w:r>
              <w:rPr/>
              <w:br/>
            </w:r>
            <w:r>
              <w:rPr>
                <w:b/>
              </w:rPr>
              <w:t>Issue Price</w:t>
            </w:r>
            <w:r>
              <w:rPr/>
              <w:br/>
            </w:r>
            <w:r>
              <w:rPr>
                <w:b/>
              </w:rPr>
              <w:t>per Share</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Authorized</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pPr>
            <w:r>
              <w:rPr>
                <w:b/>
              </w:rPr>
              <w:t>Shares Issued</w:t>
            </w:r>
            <w:r>
              <w:rPr/>
              <w:br/>
            </w:r>
            <w:r>
              <w:rPr>
                <w:b/>
              </w:rPr>
              <w:t>and</w:t>
            </w:r>
            <w:r>
              <w:rPr/>
              <w:br/>
            </w:r>
            <w:r>
              <w:rPr>
                <w:b/>
              </w:rPr>
              <w:t>Outstanding</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pPr>
            <w:r>
              <w:rPr>
                <w:b/>
              </w:rPr>
              <w:t>Carrying</w:t>
            </w:r>
            <w:r>
              <w:rPr/>
              <w:br/>
            </w:r>
            <w:r>
              <w:rPr>
                <w:b/>
              </w:rPr>
              <w:t>Amount</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Preference</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26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0.20</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41,667</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41,658</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8,445</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pPr>
            <w:r>
              <w:rPr/>
              <w:t>16,996</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Series A-1</w:t>
            </w:r>
          </w:p>
        </w:tc>
        <w:tc>
          <w:tcPr>
            <w:tcW w:w="26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0.20</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26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0.78</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33,126</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32,975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25,861</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25,879</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26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0.78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118</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26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6.72</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7,810</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7,810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52,382</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52,510</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26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20.34</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8,368</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57" w:type="dxa"/>
            <w:tcBorders/>
            <w:vAlign w:val="bottom"/>
          </w:tcPr>
          <w:p>
            <w:pPr>
              <w:pStyle w:val="TableContents"/>
              <w:bidi w:val="0"/>
              <w:spacing w:before="0" w:after="283"/>
              <w:jc w:val="right"/>
              <w:rPr/>
            </w:pPr>
            <w:r>
              <w:rPr/>
              <w:t>8,288</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168,439</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170,192</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91,131</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90,891</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255,127</w:t>
            </w:r>
          </w:p>
        </w:tc>
        <w:tc>
          <w:tcPr>
            <w:tcW w:w="60"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92" w:type="dxa"/>
            <w:tcBorders/>
            <w:shd w:fill="CCEEFF" w:val="clear"/>
            <w:vAlign w:val="bottom"/>
          </w:tcPr>
          <w:p>
            <w:pPr>
              <w:pStyle w:val="TableContents"/>
              <w:bidi w:val="0"/>
              <w:spacing w:before="0" w:after="283"/>
              <w:jc w:val="right"/>
              <w:rPr/>
            </w:pPr>
            <w:r>
              <w:rPr/>
              <w:t>265,699</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1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3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outstanding shares of Preferred Stock are entitled to receive, when and if declared by the Companys board of directors, a noncumulative dividend at an annual rate of 2 times the Series A preferred stock Original Issue Price (OIP) and Series A-1 preferred stock OIP, 1 times the Series B preferred stock OIP and Series B-1 preferred stock OIP, and 1 times the Series C preferred stock OIP and Series D preferred stock OIP for each share of such series of Preferred Stock. Such dividends are payable in preference to any dividends for common stock declared by the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Event, as described below, whether voluntary or involuntary, the holders of Preferred Stock, shall be entitled to receive, on a pari passu basis, prior and in preference to any distribution to holders of common stock, an amount equal to the greater of (i) 2 times the Series A preferred stock OIP, 2 times the Series A-1 preferred stock OIP, 1 times the Series B preferred stock OIP, 1 times the Series B-1 preferred stock OIP, 1 times the Series C preferred stock OIP, and 1 times the Series D preferred stock OIP, respectively, together with any declared but unpaid dividends or (ii) such amount per share as would have been payable had all shares of each respective series of Preferred Stock been converted into common stock immediately prior to such liquidation event (Liquidation Preference). If the assets are insufficient to make payment in full to all holders of Preferred Stock, the assets or consideration of the Company legally available for distribution shall be distributed ratably among the holders of the Preferred Stock in proportion to their Liquidation Preference. After the payment of the Liquidation Preference, all remaining assets available for distribution, if any, shall be distributed ratably among the holders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Event </w:t>
      </w:r>
    </w:p>
    <w:p>
      <w:pPr>
        <w:pStyle w:val="TextBody"/>
        <w:bidi w:val="0"/>
        <w:spacing w:before="120" w:after="0"/>
        <w:jc w:val="left"/>
        <w:rPr>
          <w:rFonts w:ascii="Times New Roman" w:hAnsi="Times New Roman"/>
          <w:sz w:val="20"/>
        </w:rPr>
      </w:pPr>
      <w:r>
        <w:rPr>
          <w:rFonts w:ascii="Times New Roman" w:hAnsi="Times New Roman"/>
          <w:sz w:val="20"/>
        </w:rPr>
        <w:t xml:space="preserve">A liquidation event (Liquidation Event) shall mean the following: </w:t>
      </w:r>
    </w:p>
    <w:p>
      <w:pPr>
        <w:pStyle w:val="TextBody"/>
        <w:bidi w:val="0"/>
        <w:spacing w:before="120" w:after="0"/>
        <w:jc w:val="left"/>
        <w:rPr>
          <w:rFonts w:ascii="Times New Roman" w:hAnsi="Times New Roman"/>
          <w:sz w:val="20"/>
        </w:rPr>
      </w:pPr>
      <w:r>
        <w:rPr>
          <w:rFonts w:ascii="Times New Roman" w:hAnsi="Times New Roman"/>
          <w:sz w:val="20"/>
        </w:rPr>
        <w:t xml:space="preserve">Sale, lease or exclusive license or other disposition of all or substantially all of the assets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a merger or consolidation of the Company with or into another entity (except whereby the holders of more than 50% of the capital stock of the Company continue to own more than 50% of the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transfer of a majority of the Companys capital stock to a person or group of affiliated persons (other than an underwriter of the Companys securities); or </w:t>
      </w:r>
    </w:p>
    <w:p>
      <w:pPr>
        <w:pStyle w:val="TextBody"/>
        <w:bidi w:val="0"/>
        <w:spacing w:before="120" w:after="0"/>
        <w:jc w:val="left"/>
        <w:rPr>
          <w:rFonts w:ascii="Times New Roman" w:hAnsi="Times New Roman"/>
          <w:sz w:val="20"/>
        </w:rPr>
      </w:pPr>
      <w:r>
        <w:rPr>
          <w:rFonts w:ascii="Times New Roman" w:hAnsi="Times New Roman"/>
          <w:sz w:val="20"/>
        </w:rPr>
        <w:t xml:space="preserve">Liquidation, dissolution or winding up of the Company, whether voluntary or involuntary, unless to change the state of the Companys incorporation or to create a holding company that will be majority owned by the same majority holding the Companys current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occurrence of a Liquidation Event may be waived by consent or vote of the holders of at least 60% of the outstanding shares of Preferred Stock, voting together as a single class on an as-converted basis (the Preferred Majority), including a majority of holders of Series C preferred stock and holders of Series D preferred stock (the Series C and D Majority).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redeemable convertible preferred stock have no voluntary rights to redeem shares. The redeemable convertible preferred stock has deemed liquidation provisions which require the shares to be redeemed upon any liquidation, dissolution, or winding up of the Company, whether voluntary or involuntary, or a Liquidation Event. Although the Preferred Stock is not mandatorily or currently redeemable, a deemed Liquidation Event could constitute a redemption event outside the Companys control. Therefore, all shares of Preferred Stock have been presented outside of permanent equity. The Company recorded all shares of Preferred Stock at their respective issuance price less issuance costs on the dates of issuance. Given the Companys performance and financial condition, the Company currently does not believe a Liquidation Event is probable. The carrying values of the Companys Preferred Stock have not been accreted to their redemption values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Event is not considered probable of occurring. Subsequent adjustments of the carrying values to redemption values will be made only if and when it becomes probable the preferred shares will become redeemable.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each share of Series A preferred stock, Series A-1 preferred stock, Series B preferred stock, Series B-1 preferred stock, Series C preferred stock, and Series D preferred stock have the right to one vote for each share of common stock into which such Preferred Stock could then be converted. Such holder has voting rights and powers equal to those of the holder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long as at least fifty percent of the shares of Series A preferred stock originally issued remain outstanding, the holders of Series A preferred stock, exclusively and as a separate class, shall be entitled to elect up to 2 directors (the Series A Directors). So long as at least 14.7 million shares (adjusted for any stock splits, stock dividends, combinations, subdivisions, recapitalizations or the like) of Series B preferred stock remain outstanding, the holders of the Series B preferred stock, exclusively and as a separate class, shall be entitled to elect 1 director (the Series B Director). The holders of record of the shares of common stock, exclusively and as a separate class, shall be entitled to elect 2 directors (the Common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Preferred Stock is convertible, at the option of the holder, at any time, into the number of fully paid and nonassessable shares of common stock determined by dividing the applicable OIP per share by the applicable conversion price per share in effect for the class of Preferred Stock at the time of conversion. The initial conversion price per share of the Preferred Stock is the applicable OIP. The conversion price is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Each share of Preferred Stock shall automatically be converted into shares of common stock at the conversion price at the time in effect for such share immediately upon the earlier of (i) the closing of this corporations sale of its common stock to the public at a price of at least $10.16 per share in a firm commitment underwritten public offering pursuant to a registration statement under the Securities Act of 1933, provided that the aggregate gross proceeds to this corporation are at least $40.0 million (a Qualified Public Offering) or (ii) the date, or the occurrence of an event, specified by vote or written consent or agreement of the holders of the Preferred Majority; provided, however, that the affirmative vote or written consent of the Series C Majority and Series D Majority shall be required to convert the Series C preferred stock and Series D preferred stock in connection with any transaction resulting in the holders of the Series C preferred stock and Series D preferred stock receiving proceeds per share which are less than the Series C OIP and Series D OIP,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Common Stock and Common Stock 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2023, the Company had authorized 162.6 million shares of common stock with a $0.0001 per share par value. Common stockholders are entitled to one vote for each share held.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2023, the Company had 40.6 million and 42.0 million shares of common stock issued and outstanding, respectively. The total shares of the Companys common stock reserved for issuance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24"/>
        <w:gridCol w:w="244"/>
        <w:gridCol w:w="60"/>
        <w:gridCol w:w="800"/>
        <w:gridCol w:w="60"/>
        <w:gridCol w:w="244"/>
        <w:gridCol w:w="60"/>
        <w:gridCol w:w="800"/>
        <w:gridCol w:w="63"/>
      </w:tblGrid>
      <w:tr>
        <w:trPr/>
        <w:tc>
          <w:tcPr>
            <w:tcW w:w="542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0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outstanding</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90,891</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90,891</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warrants outstanding</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1,610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2,442</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under the 2018 Plan</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12,337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10,059</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outstanding</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5,108</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8,583</w:t>
            </w:r>
          </w:p>
        </w:tc>
        <w:tc>
          <w:tcPr>
            <w:tcW w:w="63" w:type="dxa"/>
            <w:tcBorders/>
            <w:vAlign w:val="bottom"/>
          </w:tcPr>
          <w:p>
            <w:pPr>
              <w:pStyle w:val="TableContents"/>
              <w:bidi w:val="0"/>
              <w:spacing w:before="0" w:after="283"/>
              <w:jc w:val="left"/>
              <w:rPr/>
            </w:pPr>
            <w:r>
              <w:rPr/>
              <w:t> </w:t>
            </w:r>
          </w:p>
        </w:tc>
      </w:tr>
      <w:tr>
        <w:trPr/>
        <w:tc>
          <w:tcPr>
            <w:tcW w:w="5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reserved for future issuance under the 2018 Plan (1)</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3,140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513</w:t>
            </w:r>
          </w:p>
        </w:tc>
        <w:tc>
          <w:tcPr>
            <w:tcW w:w="63" w:type="dxa"/>
            <w:tcBorders/>
            <w:shd w:fill="CCEEFF" w:val="clear"/>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24" w:type="dxa"/>
            <w:tcBorders/>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 for issuance</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113,086</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112,488</w:t>
            </w:r>
          </w:p>
        </w:tc>
        <w:tc>
          <w:tcPr>
            <w:tcW w:w="63" w:type="dxa"/>
            <w:tcBorders/>
            <w:vAlign w:val="bottom"/>
          </w:tcPr>
          <w:p>
            <w:pPr>
              <w:pStyle w:val="TableContents"/>
              <w:bidi w:val="0"/>
              <w:spacing w:before="0" w:after="283"/>
              <w:jc w:val="left"/>
              <w:rPr/>
            </w:pPr>
            <w:r>
              <w:rPr/>
              <w:t> </w:t>
            </w:r>
          </w:p>
        </w:tc>
      </w:tr>
      <w:tr>
        <w:trPr/>
        <w:tc>
          <w:tcPr>
            <w:tcW w:w="542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January 25, 2024, the board of directors authorized to increase the maximum aggregate number of shares that may be issued under the 2018 Plan from 37.5 million to 46.4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issued a fully-vested warrant to purchase up to 126,185 shares of the Companys common stock at an exercise price of $0.30 per share in connection with a legacy loan agreement with Silicon Valley Bank that expired in January 2022. The warrant is exercisable starting on the grant date for a period of 10 years. The grant date fair value of the warrant was not material. The warrant was recorded as a debt issuance cost and was amortized to interest expense from the issuance date to the expiration of the draw period of the Term Loan in January 2022. </w:t>
      </w:r>
    </w:p>
    <w:p>
      <w:pPr>
        <w:pStyle w:val="TextBody"/>
        <w:bidi w:val="0"/>
        <w:spacing w:before="240" w:after="0"/>
        <w:jc w:val="left"/>
        <w:rPr>
          <w:rFonts w:ascii="Times New Roman" w:hAnsi="Times New Roman"/>
          <w:sz w:val="20"/>
        </w:rPr>
      </w:pPr>
      <w:r>
        <w:rPr>
          <w:rFonts w:ascii="Times New Roman" w:hAnsi="Times New Roman"/>
          <w:sz w:val="20"/>
        </w:rPr>
        <w:t xml:space="preserve">In October 2022, the Company issued a warrant to a customer (Holder) to purchase an aggregate of up to 1,484,230 shares of common stock at an exercise price of $20.34 per share (the Customer Warrant). The exercise period of the Customer Warrant is through the seventh anniversary of the issue date. Upon issuance of the Customer Warrant, 14,844 shares issuable underlying the Customer Warrant were vested. The remainder of the shares underlying the Customer Warrant may vest and become exercisable over the contract term, contingent upon the achievement of performance conditions, comprised of specified tranches of global payments by the Holder and its affiliates to the Company. During the year ended December 31, 2022, an additional 57,033 shares issuable underlying the Customer Warrant vested. During the year ended December 31, 2023, 160,731 shares issuable underlying the Customer Warrant vested. As of December 31, 2022 and 2023, a total of 71,877 and 232,608 shares, respectively, issuable underlying the Customer Warrant were vested.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the Company amended the warrant agreement and issued an additional warrant to purchase an aggregate of up to 831,945 shares of common stock at an exercise price of $20.34 per share (the 2023 Warrant) with same exercise period as the Customer Warrant originally issued. The 2023 Warrant will vest and become exercisable over the contract term, contingent upon the achievement of performance conditions, comprised of specified tranches of global payments by the Holder and its affiliates to the Company. As of December 31, 2023, no shares were vested underlying the 2023 Warrant. </w:t>
      </w:r>
    </w:p>
    <w:p>
      <w:pPr>
        <w:pStyle w:val="TextBody"/>
        <w:bidi w:val="0"/>
        <w:spacing w:before="240" w:after="0"/>
        <w:jc w:val="left"/>
        <w:rPr>
          <w:rFonts w:ascii="Times New Roman" w:hAnsi="Times New Roman"/>
          <w:sz w:val="20"/>
        </w:rPr>
      </w:pPr>
      <w:r>
        <w:rPr>
          <w:rFonts w:ascii="Times New Roman" w:hAnsi="Times New Roman"/>
          <w:sz w:val="20"/>
        </w:rPr>
        <w:t xml:space="preserve">The grant date fair values of the Customer Warrant and the 2023 Warrant were determined to be $4.78 and $10.04 per share, respectively, using the Black-Scholes-Merton option pricing model, for a maximum total Customer Warrant and 2023 Warrant fair values of $7.1 million and $8.4 million, respectively. The per share grant date fair values of the Customer Warrant and 2023 Warrant were estimated using the following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41"/>
        <w:gridCol w:w="575"/>
        <w:gridCol w:w="205"/>
        <w:gridCol w:w="826"/>
        <w:gridCol w:w="275"/>
        <w:gridCol w:w="479"/>
        <w:gridCol w:w="292"/>
        <w:gridCol w:w="1183"/>
        <w:gridCol w:w="279"/>
      </w:tblGrid>
      <w:tr>
        <w:trPr/>
        <w:tc>
          <w:tcPr>
            <w:tcW w:w="3641" w:type="dxa"/>
            <w:tcBorders/>
            <w:vAlign w:val="center"/>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9"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41"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1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Customer</w:t>
              <w:br/>
              <w:t>Warrant</w:t>
            </w:r>
          </w:p>
        </w:tc>
        <w:tc>
          <w:tcPr>
            <w:tcW w:w="275"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Warrant</w:t>
            </w:r>
          </w:p>
        </w:tc>
        <w:tc>
          <w:tcPr>
            <w:tcW w:w="27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57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0.0</w:t>
            </w:r>
          </w:p>
        </w:tc>
        <w:tc>
          <w:tcPr>
            <w:tcW w:w="279" w:type="dxa"/>
            <w:tcBorders/>
            <w:shd w:fill="CCEEFF" w:val="clear"/>
            <w:vAlign w:val="bottom"/>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7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4.2</w:t>
            </w:r>
          </w:p>
        </w:tc>
        <w:tc>
          <w:tcPr>
            <w:tcW w:w="275"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4.9</w:t>
            </w:r>
          </w:p>
        </w:tc>
        <w:tc>
          <w:tcPr>
            <w:tcW w:w="27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7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55.0</w:t>
            </w:r>
          </w:p>
        </w:tc>
        <w:tc>
          <w:tcPr>
            <w:tcW w:w="275"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60.0</w:t>
            </w:r>
          </w:p>
        </w:tc>
        <w:tc>
          <w:tcPr>
            <w:tcW w:w="279" w:type="dxa"/>
            <w:tcBorders/>
            <w:shd w:fill="CCEEFF" w:val="clear"/>
            <w:vAlign w:val="bottom"/>
          </w:tcPr>
          <w:p>
            <w:pPr>
              <w:pStyle w:val="TableContents"/>
              <w:bidi w:val="0"/>
              <w:spacing w:before="0" w:after="283"/>
              <w:jc w:val="left"/>
              <w:rPr/>
            </w:pPr>
            <w:r>
              <w:rPr/>
              <w:t>% </w:t>
            </w:r>
          </w:p>
        </w:tc>
      </w:tr>
      <w:tr>
        <w:trPr/>
        <w:tc>
          <w:tcPr>
            <w:tcW w:w="3641"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57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7.0</w:t>
            </w:r>
          </w:p>
        </w:tc>
        <w:tc>
          <w:tcPr>
            <w:tcW w:w="275" w:type="dxa"/>
            <w:tcBorders/>
            <w:vAlign w:val="bottom"/>
          </w:tcPr>
          <w:p>
            <w:pPr>
              <w:pStyle w:val="TableContents"/>
              <w:bidi w:val="0"/>
              <w:spacing w:before="0" w:after="283"/>
              <w:jc w:val="left"/>
              <w:rPr/>
            </w:pPr>
            <w:r>
              <w:rPr/>
              <w:t> </w:t>
            </w:r>
          </w:p>
        </w:tc>
        <w:tc>
          <w:tcPr>
            <w:tcW w:w="4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6.0</w:t>
            </w:r>
          </w:p>
        </w:tc>
        <w:tc>
          <w:tcPr>
            <w:tcW w:w="279" w:type="dxa"/>
            <w:tcBorders/>
            <w:vAlign w:val="bottom"/>
          </w:tcPr>
          <w:p>
            <w:pPr>
              <w:pStyle w:val="TableContents"/>
              <w:bidi w:val="0"/>
              <w:spacing w:before="0" w:after="283"/>
              <w:jc w:val="left"/>
              <w:rPr/>
            </w:pPr>
            <w:r>
              <w:rPr/>
              <w:t> </w:t>
            </w:r>
          </w:p>
        </w:tc>
      </w:tr>
      <w:tr>
        <w:trPr/>
        <w:tc>
          <w:tcPr>
            <w:tcW w:w="36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 fair value of common stock</w:t>
            </w:r>
          </w:p>
        </w:tc>
        <w:tc>
          <w:tcPr>
            <w:tcW w:w="57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10.64</w:t>
            </w:r>
          </w:p>
        </w:tc>
        <w:tc>
          <w:tcPr>
            <w:tcW w:w="275" w:type="dxa"/>
            <w:tcBorders/>
            <w:shd w:fill="CCEEFF" w:val="clear"/>
            <w:vAlign w:val="bottom"/>
          </w:tcPr>
          <w:p>
            <w:pPr>
              <w:pStyle w:val="TableContents"/>
              <w:bidi w:val="0"/>
              <w:spacing w:before="0" w:after="283"/>
              <w:jc w:val="left"/>
              <w:rPr/>
            </w:pPr>
            <w:r>
              <w:rPr/>
              <w:t> </w:t>
            </w:r>
          </w:p>
        </w:tc>
        <w:tc>
          <w:tcPr>
            <w:tcW w:w="4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17.62</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2022 and 2023, the Company recognized $0.3 million and $0.8 million, respectively, as a reduction of revenue in the consolidated statements of operations and comprehensive loss related to the Customer Warrant. No reduction of revenue was recognized in the consolidated statements of operations and comprehensive loss related to the 2023 Warrant for the year ended December 31, 2023. The remaining grant date fair values of the Customer Warrant and the 2023 Warrant that are probable of vesting will be recognized as a reduction of revenue in proportion to the amount of related product sales, which could be up until October 14,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2018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primarily grants stock-based compensation awards under its 2018 Equity Incentive Plan (2018 Plan). The 2018 Plan provides for the granting of incentive and nonqualified stock options to qualified employees, nonemployee directors, and consultants. Options granted under the 2018 Plan generally expire within 10 years from the date of grant, vest over four years and are exercisable for shares of the Companys common stock. As of December 31, 2023, the maximum aggregate number of shares that may be issued under the 2018 Plan was 37.5 million, of which 0.5 million shares remained available to be issued under the 2018 Plan. </w:t>
      </w:r>
    </w:p>
    <w:p>
      <w:pPr>
        <w:pStyle w:val="TextBody"/>
        <w:bidi w:val="0"/>
        <w:spacing w:before="240" w:after="0"/>
        <w:jc w:val="left"/>
        <w:rPr>
          <w:rFonts w:ascii="Times New Roman" w:hAnsi="Times New Roman"/>
          <w:sz w:val="20"/>
        </w:rPr>
      </w:pPr>
      <w:r>
        <w:rPr>
          <w:rFonts w:ascii="Times New Roman" w:hAnsi="Times New Roman"/>
          <w:sz w:val="20"/>
        </w:rPr>
        <w:t xml:space="preserve">On January 25, 2024, the board of directors authorized to increase the maximum aggregate number of shares that may be issued under the 2018 Plan from 37.5 million to 46.4 million. </w:t>
      </w:r>
    </w:p>
    <w:p>
      <w:pPr>
        <w:pStyle w:val="TextBody"/>
        <w:bidi w:val="0"/>
        <w:spacing w:before="240" w:after="0"/>
        <w:jc w:val="left"/>
        <w:rPr>
          <w:rFonts w:ascii="Times New Roman" w:hAnsi="Times New Roman"/>
          <w:sz w:val="20"/>
        </w:rPr>
      </w:pPr>
      <w:r>
        <w:rPr>
          <w:rFonts w:ascii="Times New Roman" w:hAnsi="Times New Roman"/>
          <w:sz w:val="20"/>
        </w:rPr>
        <w:t xml:space="preserve">The estimated grant date fair values of the employee stock options granted during the years ended December 31, 2022 and 2023, were calculated using the Black-Scholes-Merton Option-pricing model, based on the following minimum and maximum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96"/>
        <w:gridCol w:w="337"/>
        <w:gridCol w:w="60"/>
        <w:gridCol w:w="1351"/>
        <w:gridCol w:w="275"/>
        <w:gridCol w:w="247"/>
        <w:gridCol w:w="60"/>
        <w:gridCol w:w="1351"/>
        <w:gridCol w:w="278"/>
      </w:tblGrid>
      <w:tr>
        <w:trPr/>
        <w:tc>
          <w:tcPr>
            <w:tcW w:w="3796"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3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78" w:type="dxa"/>
            <w:tcBorders/>
            <w:vAlign w:val="bottom"/>
          </w:tcPr>
          <w:p>
            <w:pPr>
              <w:pStyle w:val="TableContents"/>
              <w:bidi w:val="0"/>
              <w:spacing w:before="0" w:after="283"/>
              <w:jc w:val="left"/>
              <w:rPr/>
            </w:pPr>
            <w:r>
              <w:rPr/>
              <w:t> </w:t>
            </w:r>
          </w:p>
        </w:tc>
      </w:tr>
      <w:tr>
        <w:trPr/>
        <w:tc>
          <w:tcPr>
            <w:tcW w:w="379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8"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0.0</w:t>
            </w:r>
          </w:p>
        </w:tc>
        <w:tc>
          <w:tcPr>
            <w:tcW w:w="278"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1.7% - 2.5</w:t>
            </w:r>
          </w:p>
        </w:tc>
        <w:tc>
          <w:tcPr>
            <w:tcW w:w="27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3.9% - 4.7</w:t>
            </w:r>
          </w:p>
        </w:tc>
        <w:tc>
          <w:tcPr>
            <w:tcW w:w="278" w:type="dxa"/>
            <w:tcBorders/>
            <w:vAlign w:val="bottom"/>
          </w:tcPr>
          <w:p>
            <w:pPr>
              <w:pStyle w:val="TableContents"/>
              <w:bidi w:val="0"/>
              <w:spacing w:before="0" w:after="283"/>
              <w:jc w:val="left"/>
              <w:rPr/>
            </w:pPr>
            <w:r>
              <w:rPr/>
              <w:t>% </w:t>
            </w:r>
          </w:p>
        </w:tc>
      </w:tr>
      <w:tr>
        <w:trPr/>
        <w:tc>
          <w:tcPr>
            <w:tcW w:w="37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47.5% - 47.8</w:t>
            </w:r>
          </w:p>
        </w:tc>
        <w:tc>
          <w:tcPr>
            <w:tcW w:w="275"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pPr>
            <w:r>
              <w:rPr/>
              <w:t>48.8% - 49.1</w:t>
            </w:r>
          </w:p>
        </w:tc>
        <w:tc>
          <w:tcPr>
            <w:tcW w:w="278" w:type="dxa"/>
            <w:tcBorders/>
            <w:shd w:fill="CCEEFF" w:val="clear"/>
            <w:vAlign w:val="bottom"/>
          </w:tcPr>
          <w:p>
            <w:pPr>
              <w:pStyle w:val="TableContents"/>
              <w:bidi w:val="0"/>
              <w:spacing w:before="0" w:after="283"/>
              <w:jc w:val="left"/>
              <w:rPr/>
            </w:pPr>
            <w:r>
              <w:rPr/>
              <w:t>% </w:t>
            </w:r>
          </w:p>
        </w:tc>
      </w:tr>
      <w:tr>
        <w:trPr/>
        <w:tc>
          <w:tcPr>
            <w:tcW w:w="3796"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6.1 - 6.1</w:t>
            </w:r>
          </w:p>
        </w:tc>
        <w:tc>
          <w:tcPr>
            <w:tcW w:w="275"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pPr>
            <w:r>
              <w:rPr/>
              <w:t>6.1 - 6.1</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stock-based compensation expense recognized in the consolidated statements of operations and comprehensive loss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32"/>
        <w:gridCol w:w="413"/>
        <w:gridCol w:w="212"/>
        <w:gridCol w:w="1084"/>
        <w:gridCol w:w="90"/>
        <w:gridCol w:w="462"/>
        <w:gridCol w:w="212"/>
        <w:gridCol w:w="1087"/>
        <w:gridCol w:w="63"/>
      </w:tblGrid>
      <w:tr>
        <w:trPr/>
        <w:tc>
          <w:tcPr>
            <w:tcW w:w="4132"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32"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31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3" w:type="dxa"/>
            <w:tcBorders/>
            <w:vAlign w:val="bottom"/>
          </w:tcPr>
          <w:p>
            <w:pPr>
              <w:pStyle w:val="TableContents"/>
              <w:bidi w:val="0"/>
              <w:spacing w:before="0" w:after="283"/>
              <w:jc w:val="left"/>
              <w:rPr/>
            </w:pPr>
            <w:r>
              <w:rPr/>
              <w:t> </w:t>
            </w:r>
          </w:p>
        </w:tc>
      </w:tr>
      <w:tr>
        <w:trPr/>
        <w:tc>
          <w:tcPr>
            <w:tcW w:w="4132"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9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3" w:type="dxa"/>
            <w:tcBorders/>
            <w:vAlign w:val="bottom"/>
          </w:tcPr>
          <w:p>
            <w:pPr>
              <w:pStyle w:val="TableContents"/>
              <w:bidi w:val="0"/>
              <w:spacing w:before="0" w:after="283"/>
              <w:jc w:val="left"/>
              <w:rPr/>
            </w:pPr>
            <w:r>
              <w:rPr/>
              <w:t> </w:t>
            </w:r>
          </w:p>
        </w:tc>
      </w:tr>
      <w:tr>
        <w:trPr/>
        <w:tc>
          <w:tcPr>
            <w:tcW w:w="41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1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10</w:t>
            </w:r>
          </w:p>
        </w:tc>
        <w:tc>
          <w:tcPr>
            <w:tcW w:w="9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24</w:t>
            </w:r>
          </w:p>
        </w:tc>
        <w:tc>
          <w:tcPr>
            <w:tcW w:w="63" w:type="dxa"/>
            <w:tcBorders/>
            <w:shd w:fill="CCEEFF" w:val="clear"/>
            <w:vAlign w:val="bottom"/>
          </w:tcPr>
          <w:p>
            <w:pPr>
              <w:pStyle w:val="TableContents"/>
              <w:bidi w:val="0"/>
              <w:spacing w:before="0" w:after="283"/>
              <w:jc w:val="left"/>
              <w:rPr/>
            </w:pPr>
            <w:r>
              <w:rPr/>
              <w:t> </w:t>
            </w:r>
          </w:p>
        </w:tc>
      </w:tr>
      <w:tr>
        <w:trPr/>
        <w:tc>
          <w:tcPr>
            <w:tcW w:w="413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41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11,223</w:t>
            </w:r>
          </w:p>
        </w:tc>
        <w:tc>
          <w:tcPr>
            <w:tcW w:w="9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7,360</w:t>
            </w:r>
          </w:p>
        </w:tc>
        <w:tc>
          <w:tcPr>
            <w:tcW w:w="63" w:type="dxa"/>
            <w:tcBorders/>
            <w:vAlign w:val="bottom"/>
          </w:tcPr>
          <w:p>
            <w:pPr>
              <w:pStyle w:val="TableContents"/>
              <w:bidi w:val="0"/>
              <w:spacing w:before="0" w:after="283"/>
              <w:jc w:val="left"/>
              <w:rPr/>
            </w:pPr>
            <w:r>
              <w:rPr/>
              <w:t> </w:t>
            </w:r>
          </w:p>
        </w:tc>
      </w:tr>
      <w:tr>
        <w:trPr/>
        <w:tc>
          <w:tcPr>
            <w:tcW w:w="41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41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10,148</w:t>
            </w:r>
          </w:p>
        </w:tc>
        <w:tc>
          <w:tcPr>
            <w:tcW w:w="9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2,067</w:t>
            </w:r>
          </w:p>
        </w:tc>
        <w:tc>
          <w:tcPr>
            <w:tcW w:w="63" w:type="dxa"/>
            <w:tcBorders/>
            <w:shd w:fill="CCEEFF" w:val="clear"/>
            <w:vAlign w:val="bottom"/>
          </w:tcPr>
          <w:p>
            <w:pPr>
              <w:pStyle w:val="TableContents"/>
              <w:bidi w:val="0"/>
              <w:spacing w:before="0" w:after="283"/>
              <w:jc w:val="left"/>
              <w:rPr/>
            </w:pPr>
            <w:r>
              <w:rPr/>
              <w:t> </w:t>
            </w:r>
          </w:p>
        </w:tc>
      </w:tr>
      <w:tr>
        <w:trPr/>
        <w:tc>
          <w:tcPr>
            <w:tcW w:w="413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41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8,854</w:t>
            </w:r>
          </w:p>
        </w:tc>
        <w:tc>
          <w:tcPr>
            <w:tcW w:w="9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1,228</w:t>
            </w:r>
          </w:p>
        </w:tc>
        <w:tc>
          <w:tcPr>
            <w:tcW w:w="63" w:type="dxa"/>
            <w:tcBorders/>
            <w:vAlign w:val="bottom"/>
          </w:tcPr>
          <w:p>
            <w:pPr>
              <w:pStyle w:val="TableContents"/>
              <w:bidi w:val="0"/>
              <w:spacing w:before="0" w:after="283"/>
              <w:jc w:val="left"/>
              <w:rPr/>
            </w:pPr>
            <w:r>
              <w:rPr/>
              <w:t> </w:t>
            </w:r>
          </w:p>
        </w:tc>
      </w:tr>
      <w:tr>
        <w:trPr/>
        <w:tc>
          <w:tcPr>
            <w:tcW w:w="4132"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1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1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30,235</w:t>
            </w:r>
          </w:p>
        </w:tc>
        <w:tc>
          <w:tcPr>
            <w:tcW w:w="9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10,679</w:t>
            </w:r>
          </w:p>
        </w:tc>
        <w:tc>
          <w:tcPr>
            <w:tcW w:w="63" w:type="dxa"/>
            <w:tcBorders/>
            <w:shd w:fill="CCEEFF" w:val="clear"/>
            <w:vAlign w:val="bottom"/>
          </w:tcPr>
          <w:p>
            <w:pPr>
              <w:pStyle w:val="TableContents"/>
              <w:bidi w:val="0"/>
              <w:spacing w:before="0" w:after="283"/>
              <w:jc w:val="left"/>
              <w:rPr/>
            </w:pPr>
            <w:r>
              <w:rPr/>
              <w:t> </w:t>
            </w:r>
          </w:p>
        </w:tc>
      </w:tr>
      <w:tr>
        <w:trPr/>
        <w:tc>
          <w:tcPr>
            <w:tcW w:w="4132"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90" w:type="dxa"/>
            <w:tcBorders/>
            <w:vAlign w:val="center"/>
          </w:tcPr>
          <w:p>
            <w:pPr>
              <w:pStyle w:val="TableContents"/>
              <w:bidi w:val="0"/>
              <w:spacing w:before="0" w:after="283"/>
              <w:jc w:val="left"/>
              <w:rPr/>
            </w:pPr>
            <w:r>
              <w:rPr/>
              <w:t> </w:t>
            </w:r>
          </w:p>
        </w:tc>
        <w:tc>
          <w:tcPr>
            <w:tcW w:w="46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stock option activity under the 2018 Plan is as follows (in thousands, except years and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37"/>
        <w:gridCol w:w="255"/>
        <w:gridCol w:w="91"/>
        <w:gridCol w:w="1052"/>
        <w:gridCol w:w="155"/>
        <w:gridCol w:w="198"/>
        <w:gridCol w:w="464"/>
        <w:gridCol w:w="1494"/>
        <w:gridCol w:w="60"/>
        <w:gridCol w:w="255"/>
        <w:gridCol w:w="309"/>
        <w:gridCol w:w="1649"/>
        <w:gridCol w:w="60"/>
        <w:gridCol w:w="254"/>
        <w:gridCol w:w="159"/>
        <w:gridCol w:w="929"/>
        <w:gridCol w:w="67"/>
      </w:tblGrid>
      <w:tr>
        <w:trPr/>
        <w:tc>
          <w:tcPr>
            <w:tcW w:w="1937"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Remaining</w:t>
              <w:br/>
              <w:t>Contractual Term</w:t>
            </w:r>
            <w:r>
              <w:rPr/>
              <w:br/>
            </w:r>
            <w:r>
              <w:rPr>
                <w:b/>
              </w:rPr>
              <w:t>(in years)</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Intrinsic</w:t>
            </w:r>
            <w:r>
              <w:rPr/>
              <w:br/>
            </w:r>
            <w:r>
              <w:rPr>
                <w:b/>
              </w:rPr>
              <w:t>Value</w:t>
            </w:r>
          </w:p>
        </w:tc>
        <w:tc>
          <w:tcPr>
            <w:tcW w:w="67" w:type="dxa"/>
            <w:tcBorders/>
            <w:vAlign w:val="bottom"/>
          </w:tcPr>
          <w:p>
            <w:pPr>
              <w:pStyle w:val="TableContents"/>
              <w:bidi w:val="0"/>
              <w:spacing w:before="0" w:after="283"/>
              <w:jc w:val="left"/>
              <w:rPr/>
            </w:pPr>
            <w:r>
              <w:rPr/>
              <w:t> </w:t>
            </w:r>
          </w:p>
        </w:tc>
      </w:tr>
      <w:tr>
        <w:trPr/>
        <w:tc>
          <w:tcPr>
            <w:tcW w:w="19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2021</w:t>
            </w:r>
          </w:p>
        </w:tc>
        <w:tc>
          <w:tcPr>
            <w:tcW w:w="2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12,672</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0.80</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74,967</w:t>
            </w:r>
          </w:p>
        </w:tc>
        <w:tc>
          <w:tcPr>
            <w:tcW w:w="67" w:type="dxa"/>
            <w:tcBorders/>
            <w:shd w:fill="CCEEFF" w:val="clear"/>
            <w:vAlign w:val="bottom"/>
          </w:tcPr>
          <w:p>
            <w:pPr>
              <w:pStyle w:val="TableContents"/>
              <w:bidi w:val="0"/>
              <w:spacing w:before="0" w:after="283"/>
              <w:jc w:val="left"/>
              <w:rPr/>
            </w:pPr>
            <w:r>
              <w:rPr/>
              <w:t> </w:t>
            </w:r>
          </w:p>
        </w:tc>
      </w:tr>
      <w:tr>
        <w:trPr/>
        <w:tc>
          <w:tcPr>
            <w:tcW w:w="193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2,185</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(2,041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94" w:type="dxa"/>
            <w:tcBorders/>
            <w:shd w:fill="CCEEFF" w:val="clear"/>
            <w:vAlign w:val="bottom"/>
          </w:tcPr>
          <w:p>
            <w:pPr>
              <w:pStyle w:val="TableContents"/>
              <w:bidi w:val="0"/>
              <w:spacing w:before="0" w:after="283"/>
              <w:jc w:val="right"/>
              <w:rPr/>
            </w:pPr>
            <w:r>
              <w:rPr/>
              <w:t>1.52</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(479</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right"/>
              <w:rPr/>
            </w:pPr>
            <w:r>
              <w:rPr/>
              <w:t>0.58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pBdr>
                <w:top w:val="single" w:sz="2" w:space="1" w:color="000000"/>
              </w:pBdr>
              <w:bidi w:val="0"/>
              <w:spacing w:before="0" w:after="0"/>
              <w:jc w:val="left"/>
              <w:rPr/>
            </w:pPr>
            <w:r>
              <w:rPr/>
              <w:t> </w:t>
            </w:r>
          </w:p>
        </w:tc>
        <w:tc>
          <w:tcPr>
            <w:tcW w:w="14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6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2022</w:t>
            </w:r>
          </w:p>
        </w:tc>
        <w:tc>
          <w:tcPr>
            <w:tcW w:w="2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12,337</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0.86</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120,610</w:t>
            </w:r>
          </w:p>
        </w:tc>
        <w:tc>
          <w:tcPr>
            <w:tcW w:w="67" w:type="dxa"/>
            <w:tcBorders/>
            <w:shd w:fill="CCEEFF" w:val="clear"/>
            <w:vAlign w:val="bottom"/>
          </w:tcPr>
          <w:p>
            <w:pPr>
              <w:pStyle w:val="TableContents"/>
              <w:bidi w:val="0"/>
              <w:spacing w:before="0" w:after="283"/>
              <w:jc w:val="left"/>
              <w:rPr/>
            </w:pPr>
            <w:r>
              <w:rPr/>
              <w:t> </w:t>
            </w:r>
          </w:p>
        </w:tc>
      </w:tr>
      <w:tr>
        <w:trPr/>
        <w:tc>
          <w:tcPr>
            <w:tcW w:w="193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pBdr>
                <w:top w:val="double" w:sz="6" w:space="1" w:color="000000"/>
              </w:pBdr>
              <w:bidi w:val="0"/>
              <w:spacing w:before="0" w:after="0"/>
              <w:jc w:val="left"/>
              <w:rPr/>
            </w:pPr>
            <w:r>
              <w:rPr/>
              <w:t> </w:t>
            </w:r>
          </w:p>
        </w:tc>
        <w:tc>
          <w:tcPr>
            <w:tcW w:w="14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6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3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94"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(1,624</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494" w:type="dxa"/>
            <w:tcBorders/>
            <w:shd w:fill="CCEEFF" w:val="clear"/>
            <w:vAlign w:val="bottom"/>
          </w:tcPr>
          <w:p>
            <w:pPr>
              <w:pStyle w:val="TableContents"/>
              <w:bidi w:val="0"/>
              <w:spacing w:before="0" w:after="283"/>
              <w:jc w:val="right"/>
              <w:rPr/>
            </w:pPr>
            <w:r>
              <w:rPr/>
              <w:t>0.68</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sz w:val="4"/>
                <w:szCs w:val="4"/>
              </w:rPr>
            </w:pPr>
            <w:r>
              <w:rPr>
                <w:sz w:val="4"/>
                <w:szCs w:val="4"/>
              </w:rPr>
            </w:r>
          </w:p>
        </w:tc>
        <w:tc>
          <w:tcPr>
            <w:tcW w:w="16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(784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6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193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pBdr>
                <w:top w:val="single" w:sz="2" w:space="1" w:color="000000"/>
              </w:pBdr>
              <w:bidi w:val="0"/>
              <w:spacing w:before="0" w:after="0"/>
              <w:jc w:val="left"/>
              <w:rPr/>
            </w:pPr>
            <w:r>
              <w:rPr/>
              <w:t> </w:t>
            </w:r>
          </w:p>
        </w:tc>
        <w:tc>
          <w:tcPr>
            <w:tcW w:w="14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6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2023</w:t>
            </w:r>
          </w:p>
        </w:tc>
        <w:tc>
          <w:tcPr>
            <w:tcW w:w="2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10,059</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0.84</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649"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175,790</w:t>
            </w:r>
          </w:p>
        </w:tc>
        <w:tc>
          <w:tcPr>
            <w:tcW w:w="67" w:type="dxa"/>
            <w:tcBorders/>
            <w:shd w:fill="CCEEFF" w:val="clear"/>
            <w:vAlign w:val="bottom"/>
          </w:tcPr>
          <w:p>
            <w:pPr>
              <w:pStyle w:val="TableContents"/>
              <w:bidi w:val="0"/>
              <w:spacing w:before="0" w:after="283"/>
              <w:jc w:val="left"/>
              <w:rPr/>
            </w:pPr>
            <w:r>
              <w:rPr/>
              <w:t> </w:t>
            </w:r>
          </w:p>
        </w:tc>
      </w:tr>
      <w:tr>
        <w:trPr/>
        <w:tc>
          <w:tcPr>
            <w:tcW w:w="193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pBdr>
                <w:top w:val="single" w:sz="2" w:space="1" w:color="000000"/>
              </w:pBdr>
              <w:bidi w:val="0"/>
              <w:spacing w:before="0" w:after="0"/>
              <w:jc w:val="left"/>
              <w:rPr/>
            </w:pPr>
            <w:r>
              <w:rPr/>
              <w:t> </w:t>
            </w:r>
          </w:p>
        </w:tc>
        <w:tc>
          <w:tcPr>
            <w:tcW w:w="14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6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937" w:type="dxa"/>
            <w:tcBorders/>
          </w:tcPr>
          <w:p>
            <w:pPr>
              <w:pStyle w:val="TableContents"/>
              <w:bidi w:val="0"/>
              <w:spacing w:before="0" w:after="0"/>
              <w:jc w:val="left"/>
              <w:rPr>
                <w:rFonts w:ascii="Times New Roman" w:hAnsi="Times New Roman"/>
                <w:b/>
                <w:sz w:val="20"/>
              </w:rPr>
            </w:pPr>
            <w:r>
              <w:rPr>
                <w:rFonts w:ascii="Times New Roman" w:hAnsi="Times New Roman"/>
                <w:b/>
                <w:sz w:val="20"/>
              </w:rPr>
              <w:t>Vested and exercisable at December 31, 2023</w:t>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6,142</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w:t>
            </w:r>
          </w:p>
        </w:tc>
        <w:tc>
          <w:tcPr>
            <w:tcW w:w="1494" w:type="dxa"/>
            <w:tcBorders/>
            <w:vAlign w:val="bottom"/>
          </w:tcPr>
          <w:p>
            <w:pPr>
              <w:pStyle w:val="TableContents"/>
              <w:bidi w:val="0"/>
              <w:spacing w:before="0" w:after="283"/>
              <w:jc w:val="right"/>
              <w:rPr/>
            </w:pPr>
            <w:r>
              <w:rPr/>
              <w:t>0.68</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49"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108,508</w:t>
            </w:r>
          </w:p>
        </w:tc>
        <w:tc>
          <w:tcPr>
            <w:tcW w:w="67" w:type="dxa"/>
            <w:tcBorders/>
            <w:vAlign w:val="bottom"/>
          </w:tcPr>
          <w:p>
            <w:pPr>
              <w:pStyle w:val="TableContents"/>
              <w:bidi w:val="0"/>
              <w:spacing w:before="0" w:after="283"/>
              <w:jc w:val="left"/>
              <w:rPr/>
            </w:pPr>
            <w:r>
              <w:rPr/>
              <w:t> </w:t>
            </w:r>
          </w:p>
        </w:tc>
      </w:tr>
      <w:tr>
        <w:trPr/>
        <w:tc>
          <w:tcPr>
            <w:tcW w:w="1937"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464" w:type="dxa"/>
            <w:tcBorders/>
            <w:vAlign w:val="bottom"/>
          </w:tcPr>
          <w:p>
            <w:pPr>
              <w:pStyle w:val="TableContents"/>
              <w:pBdr>
                <w:top w:val="double" w:sz="6" w:space="1" w:color="000000"/>
              </w:pBdr>
              <w:bidi w:val="0"/>
              <w:spacing w:before="0" w:after="0"/>
              <w:jc w:val="left"/>
              <w:rPr/>
            </w:pPr>
            <w:r>
              <w:rPr/>
              <w:t> </w:t>
            </w:r>
          </w:p>
        </w:tc>
        <w:tc>
          <w:tcPr>
            <w:tcW w:w="14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6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options are exercised, the Companys policy is to issue previously unissued shares of common stock. The intrinsic value of a stock option is calculated as the difference between the per share exercise price of the underlying stock option award and the estimated per share fair value of the Companys common stock at the measurement date. The total intrinsic value of options exercised during the years ended December 31, 2022 and 2023 was $17.6 million and $25.8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options granted during the years ended December 31, 2022 and 2023 was $8.82 and $15.48 per share, respectively. The total grant date fair value of options vested during the years ended December 31, 2022 and 2023 was $9.5 million and $13.2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approximately $19.4 million of total unrecognized compensation cost, related to unvested options, which is expected to be recognized over a weighted-average remaining requisite service period of 2.0 years, using the straight-line method.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Grants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performance grants to certain employees for which the number of shares vesting depends on the achievement of certain performance targets for the Company, which the Company determined to be probable at the grant dates. The fair value was derived at the grant date using the Black-Scholes-Merton option-pricing model and stock-based compensation expense is recognized using the accelerated attribution method over the estimated vesting period. The Company recognized $0.2 million stock-based compensation expense related to performance grants during the year ended December 31, 2022. Stock-based compensation expense related to performance grants during the year ended December 31, 2023 was not material. As of December 31, 2023, the performance grants were fully vested. The stock-based compensation expense and options outstanding are included in the stock-based compensation expense and option activity tables above. </w:t>
      </w:r>
    </w:p>
    <w:p>
      <w:pPr>
        <w:pStyle w:val="TextBody"/>
        <w:bidi w:val="0"/>
        <w:spacing w:before="360" w:after="0"/>
        <w:jc w:val="left"/>
        <w:rPr>
          <w:rFonts w:ascii="Times New Roman" w:hAnsi="Times New Roman"/>
          <w:b/>
          <w:sz w:val="20"/>
        </w:rPr>
      </w:pPr>
      <w:r>
        <w:rPr>
          <w:rFonts w:ascii="Times New Roman" w:hAnsi="Times New Roman"/>
          <w:b/>
          <w:sz w:val="20"/>
        </w:rPr>
        <w:t xml:space="preserve">Options Subject to Early Exercise </w:t>
      </w:r>
    </w:p>
    <w:p>
      <w:pPr>
        <w:pStyle w:val="TextBody"/>
        <w:bidi w:val="0"/>
        <w:spacing w:before="120" w:after="0"/>
        <w:jc w:val="left"/>
        <w:rPr>
          <w:rFonts w:ascii="Times New Roman" w:hAnsi="Times New Roman"/>
          <w:sz w:val="20"/>
        </w:rPr>
      </w:pPr>
      <w:r>
        <w:rPr>
          <w:rFonts w:ascii="Times New Roman" w:hAnsi="Times New Roman"/>
          <w:sz w:val="20"/>
        </w:rPr>
        <w:t xml:space="preserve">At the discretion of the Companys board of directors, certain options may be exercisable immediately at the date of grant but are subject to a repurchase right, under which the Company may repurchase any unvested shares at their original exercise price in the event of an employees termination prior to full vesting. Common stock purchased pursuant to an early exercise of stock options is not deemed outstanding for accounting purposes until those shares vest. The Company includes unvested shares subject to repurchase in the number of shares outstanding on the consolidated balance sheets and statements of changes in redeemable convertible preferred stock and stockholders deficit. The consideration received for an exercise of an unvested option is considered to be a deposit of the exercise price and the related dollar amount is recorded as a liability. The liabilities are reclassified into equity as the awards vest. As of December 31, 2022 and 2023, $1.7 million and $0.7 million, respectively, was included in accrued expenses and other current liabilities on the accompanying consolidated balance sheets related to the early exercise of common stock options that are subject to repurchase. </w:t>
      </w:r>
    </w:p>
    <w:p>
      <w:pPr>
        <w:pStyle w:val="TextBody"/>
        <w:bidi w:val="0"/>
        <w:spacing w:before="360" w:after="0"/>
        <w:jc w:val="left"/>
        <w:rPr>
          <w:rFonts w:ascii="Times New Roman" w:hAnsi="Times New Roman"/>
          <w:b/>
          <w:sz w:val="20"/>
        </w:rPr>
      </w:pPr>
      <w:r>
        <w:rPr>
          <w:rFonts w:ascii="Times New Roman" w:hAnsi="Times New Roman"/>
          <w:b/>
          <w:sz w:val="20"/>
        </w:rPr>
        <w:t xml:space="preserve">2019 Stock Appreciation Rights Plan </w:t>
      </w:r>
    </w:p>
    <w:p>
      <w:pPr>
        <w:pStyle w:val="TextBody"/>
        <w:bidi w:val="0"/>
        <w:spacing w:before="120" w:after="0"/>
        <w:jc w:val="left"/>
        <w:rPr>
          <w:rFonts w:ascii="Times New Roman" w:hAnsi="Times New Roman"/>
          <w:sz w:val="20"/>
        </w:rPr>
      </w:pPr>
      <w:r>
        <w:rPr>
          <w:rFonts w:ascii="Times New Roman" w:hAnsi="Times New Roman"/>
          <w:sz w:val="20"/>
        </w:rPr>
        <w:t xml:space="preserve">In 2019, the Company approved the 2019 Stock Appreciation Rights (SAR) Plan. The SAR Plan authorizes the granting of SAR units to employees and nonemployees at the discretion of the Companys board of directors. The SAR unit holders earn value based on the per share value of the common stock multiplied by the number of vested SAR units held by a participant. The SAR units vest upon the occurrence of a triggering event for the Company defined as any of the following events; (i) the closing of the sale or transfer of all or substantially all the Companys assets (ii) the consummation of the merger or consolidation of the Company with or into another entity; (iii) the closing of the transfer by the Company; (iv) a transfer or a grant of an unlimited exclusive right to all or substantially all of this Companys intellectual property; or (v) a voluntary or involuntary liquidation, dissolution, or winding up of the Company. Vesting periods are determined by the board of directors and provide for the SAR units to typically vest over a four-year period and generally expire in 10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SAR unit activity is as follows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16"/>
        <w:gridCol w:w="521"/>
        <w:gridCol w:w="145"/>
        <w:gridCol w:w="1574"/>
        <w:gridCol w:w="155"/>
        <w:gridCol w:w="521"/>
        <w:gridCol w:w="386"/>
        <w:gridCol w:w="1574"/>
        <w:gridCol w:w="63"/>
      </w:tblGrid>
      <w:tr>
        <w:trPr/>
        <w:tc>
          <w:tcPr>
            <w:tcW w:w="2816"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1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71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SAR</w:t>
            </w:r>
            <w:r>
              <w:rPr/>
              <w:br/>
            </w:r>
            <w:r>
              <w:rPr>
                <w:b/>
              </w:rPr>
              <w:t>Units</w:t>
            </w:r>
          </w:p>
        </w:tc>
        <w:tc>
          <w:tcPr>
            <w:tcW w:w="15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Grant Date Fair</w:t>
            </w:r>
            <w:r>
              <w:rPr/>
              <w:br/>
            </w:r>
            <w:r>
              <w:rPr>
                <w:b/>
              </w:rPr>
              <w:t>Value</w:t>
            </w:r>
          </w:p>
        </w:tc>
        <w:tc>
          <w:tcPr>
            <w:tcW w:w="63"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2021</w:t>
            </w:r>
          </w:p>
        </w:tc>
        <w:tc>
          <w:tcPr>
            <w:tcW w:w="5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2,117</w:t>
            </w:r>
          </w:p>
        </w:tc>
        <w:tc>
          <w:tcPr>
            <w:tcW w:w="15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74" w:type="dxa"/>
            <w:tcBorders/>
            <w:shd w:fill="CCEEFF" w:val="clear"/>
            <w:vAlign w:val="bottom"/>
          </w:tcPr>
          <w:p>
            <w:pPr>
              <w:pStyle w:val="TableContents"/>
              <w:bidi w:val="0"/>
              <w:spacing w:before="0" w:after="283"/>
              <w:jc w:val="right"/>
              <w:rPr/>
            </w:pPr>
            <w:r>
              <w:rPr/>
              <w:t>0.98</w:t>
            </w:r>
          </w:p>
        </w:tc>
        <w:tc>
          <w:tcPr>
            <w:tcW w:w="63"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10.92</w:t>
            </w:r>
          </w:p>
        </w:tc>
        <w:tc>
          <w:tcPr>
            <w:tcW w:w="63"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Cancelled</w:t>
            </w:r>
          </w:p>
        </w:tc>
        <w:tc>
          <w:tcPr>
            <w:tcW w:w="52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(2,157</w:t>
            </w:r>
          </w:p>
        </w:tc>
        <w:tc>
          <w:tcPr>
            <w:tcW w:w="155"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1.16</w:t>
            </w:r>
          </w:p>
        </w:tc>
        <w:tc>
          <w:tcPr>
            <w:tcW w:w="63" w:type="dxa"/>
            <w:tcBorders/>
            <w:shd w:fill="CCEEFF" w:val="clear"/>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single" w:sz="2" w:space="1" w:color="000000"/>
              </w:pBdr>
              <w:bidi w:val="0"/>
              <w:spacing w:before="0" w:after="0"/>
              <w:jc w:val="left"/>
              <w:rPr/>
            </w:pPr>
            <w:r>
              <w:rPr/>
              <w:t> </w:t>
            </w:r>
          </w:p>
        </w:tc>
        <w:tc>
          <w:tcPr>
            <w:tcW w:w="157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2022</w:t>
            </w:r>
          </w:p>
        </w:tc>
        <w:tc>
          <w:tcPr>
            <w:tcW w:w="52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157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86" w:type="dxa"/>
            <w:tcBorders/>
            <w:vAlign w:val="bottom"/>
          </w:tcPr>
          <w:p>
            <w:pPr>
              <w:pStyle w:val="TableContents"/>
              <w:pBdr>
                <w:top w:val="double" w:sz="6" w:space="1" w:color="000000"/>
              </w:pBdr>
              <w:bidi w:val="0"/>
              <w:spacing w:before="0" w:after="0"/>
              <w:jc w:val="left"/>
              <w:rPr/>
            </w:pPr>
            <w:r>
              <w:rPr/>
              <w:t> </w:t>
            </w:r>
          </w:p>
        </w:tc>
        <w:tc>
          <w:tcPr>
            <w:tcW w:w="157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SAR units vest ratably over a four-year period with a 25% cliff vest after the first year and then vest monthly thereafter based on continued service. In addition, the SAR units will only vest and be paid out upon a triggering event, as defined above. No compensation expense will be recognized until the triggering event condition is considered to be probable, at which time the cumulative compensation expense will be recognized and the Company will record a liability for the future cash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the Company cancelled and replaced the SAR units with RSUs. The Company converted the time-based SAR units into a RSU grant of equivalent value and similar time-based vesting period. No incremental expense was recognized for the exchange of SAR units to RSUs as the fair market value of the SAR units on the modification date equaled the fair market value of the RSUs issued. As of December 31, 2022 and 2023, there were no SAR units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grants RSUs to employees and the RSUs vest upon the satisfaction of both a service condition and a performance condition. The service condition for these awards is generally satisfied over a four-year vesting period. The performance condition is satisfied upon the occurrence of a change in control of the Company or the consummation of an initial public offering of the Companys equity securities, as defined in such RSU agreements. As of December 31, 2022 and 2023, no stock-based compensation expense had been recognized for the RSUs because management determined that it is not probable that the performance condition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If management had determined the performance condition was probable of achievement as of December 31, 2023, the Company would have recognized $62.3 million of cumulative stock-based compensation expense as of that date and would have $51.2 million of unrecognized compensation cost that represents the RSUs that have not satisfied the service condition for vesting. </w:t>
      </w:r>
    </w:p>
    <w:p>
      <w:pPr>
        <w:pStyle w:val="TextBody"/>
        <w:bidi w:val="0"/>
        <w:spacing w:before="240" w:after="0"/>
        <w:jc w:val="left"/>
        <w:rPr>
          <w:rFonts w:ascii="Times New Roman" w:hAnsi="Times New Roman"/>
          <w:sz w:val="20"/>
        </w:rPr>
      </w:pPr>
      <w:r>
        <w:rPr>
          <w:rFonts w:ascii="Times New Roman" w:hAnsi="Times New Roman"/>
          <w:sz w:val="20"/>
        </w:rPr>
        <w:t xml:space="preserve">A summary of RSU activity is as follows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56"/>
        <w:gridCol w:w="550"/>
        <w:gridCol w:w="163"/>
        <w:gridCol w:w="1557"/>
        <w:gridCol w:w="155"/>
        <w:gridCol w:w="550"/>
        <w:gridCol w:w="386"/>
        <w:gridCol w:w="1573"/>
        <w:gridCol w:w="65"/>
      </w:tblGrid>
      <w:tr>
        <w:trPr/>
        <w:tc>
          <w:tcPr>
            <w:tcW w:w="2756"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Restricted Stock</w:t>
            </w:r>
            <w:r>
              <w:rPr/>
              <w:br/>
            </w:r>
            <w:r>
              <w:rPr>
                <w:b/>
              </w:rPr>
              <w:t>Units</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Grant Date Fair</w:t>
            </w:r>
            <w:r>
              <w:rPr/>
              <w:br/>
            </w:r>
            <w:r>
              <w:rPr>
                <w:b/>
              </w:rPr>
              <w:t>Value</w:t>
            </w:r>
          </w:p>
        </w:tc>
        <w:tc>
          <w:tcPr>
            <w:tcW w:w="65"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2021</w:t>
            </w:r>
          </w:p>
        </w:tc>
        <w:tc>
          <w:tcPr>
            <w:tcW w:w="5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57" w:type="dxa"/>
            <w:tcBorders/>
            <w:vAlign w:val="bottom"/>
          </w:tcPr>
          <w:p>
            <w:pPr>
              <w:pStyle w:val="TableContents"/>
              <w:bidi w:val="0"/>
              <w:spacing w:before="0" w:after="283"/>
              <w:jc w:val="right"/>
              <w:rPr/>
            </w:pPr>
            <w:r>
              <w:rPr/>
              <w:t>5,166</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11.90</w:t>
            </w:r>
          </w:p>
        </w:tc>
        <w:tc>
          <w:tcPr>
            <w:tcW w:w="65"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57"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11.96</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5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2022</w:t>
            </w:r>
          </w:p>
        </w:tc>
        <w:tc>
          <w:tcPr>
            <w:tcW w:w="5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right"/>
              <w:rPr/>
            </w:pPr>
            <w:r>
              <w:rPr/>
              <w:t>5,108</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73" w:type="dxa"/>
            <w:tcBorders/>
            <w:shd w:fill="CCEEFF" w:val="clear"/>
            <w:vAlign w:val="bottom"/>
          </w:tcPr>
          <w:p>
            <w:pPr>
              <w:pStyle w:val="TableContents"/>
              <w:bidi w:val="0"/>
              <w:spacing w:before="0" w:after="283"/>
              <w:jc w:val="right"/>
              <w:rPr/>
            </w:pPr>
            <w:r>
              <w:rPr/>
              <w:t>11.90</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5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57" w:type="dxa"/>
            <w:tcBorders/>
            <w:vAlign w:val="bottom"/>
          </w:tcPr>
          <w:p>
            <w:pPr>
              <w:pStyle w:val="TableContents"/>
              <w:bidi w:val="0"/>
              <w:spacing w:before="0" w:after="283"/>
              <w:jc w:val="right"/>
              <w:rPr/>
            </w:pPr>
            <w:r>
              <w:rPr/>
              <w:t>3,854</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1573" w:type="dxa"/>
            <w:tcBorders/>
            <w:vAlign w:val="bottom"/>
          </w:tcPr>
          <w:p>
            <w:pPr>
              <w:pStyle w:val="TableContents"/>
              <w:bidi w:val="0"/>
              <w:spacing w:before="0" w:after="283"/>
              <w:jc w:val="right"/>
              <w:rPr/>
            </w:pPr>
            <w:r>
              <w:rPr/>
              <w:t>15.12</w:t>
            </w:r>
          </w:p>
        </w:tc>
        <w:tc>
          <w:tcPr>
            <w:tcW w:w="65"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5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Cancelled and forfeited</w:t>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57" w:type="dxa"/>
            <w:tcBorders/>
            <w:vAlign w:val="bottom"/>
          </w:tcPr>
          <w:p>
            <w:pPr>
              <w:pStyle w:val="TableContents"/>
              <w:bidi w:val="0"/>
              <w:spacing w:before="0" w:after="283"/>
              <w:jc w:val="right"/>
              <w:rPr/>
            </w:pPr>
            <w:r>
              <w:rPr/>
              <w:t>(379</w:t>
            </w:r>
          </w:p>
        </w:tc>
        <w:tc>
          <w:tcPr>
            <w:tcW w:w="155"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12.18</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5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2023</w:t>
            </w:r>
          </w:p>
        </w:tc>
        <w:tc>
          <w:tcPr>
            <w:tcW w:w="5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57" w:type="dxa"/>
            <w:tcBorders/>
            <w:shd w:fill="CCEEFF" w:val="clear"/>
            <w:vAlign w:val="bottom"/>
          </w:tcPr>
          <w:p>
            <w:pPr>
              <w:pStyle w:val="TableContents"/>
              <w:bidi w:val="0"/>
              <w:spacing w:before="0" w:after="283"/>
              <w:jc w:val="right"/>
              <w:rPr/>
            </w:pPr>
            <w:r>
              <w:rPr/>
              <w:t>8,583</w:t>
            </w:r>
          </w:p>
        </w:tc>
        <w:tc>
          <w:tcPr>
            <w:tcW w:w="155"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1573" w:type="dxa"/>
            <w:tcBorders/>
            <w:shd w:fill="CCEEFF" w:val="clear"/>
            <w:vAlign w:val="bottom"/>
          </w:tcPr>
          <w:p>
            <w:pPr>
              <w:pStyle w:val="TableContents"/>
              <w:bidi w:val="0"/>
              <w:spacing w:before="0" w:after="283"/>
              <w:jc w:val="right"/>
              <w:rPr/>
            </w:pPr>
            <w:r>
              <w:rPr/>
              <w:t>13.34</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5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sz w:val="4"/>
                <w:szCs w:val="4"/>
              </w:rPr>
            </w:pPr>
            <w:r>
              <w:rPr>
                <w:sz w:val="4"/>
                <w:szCs w:val="4"/>
              </w:rPr>
            </w:r>
          </w:p>
        </w:tc>
        <w:tc>
          <w:tcPr>
            <w:tcW w:w="157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fair value of RSUs granted was $61.4 million and $58.3 million during the years ended December 31, 2022 and 2023,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Transactions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certain existing employees sold 1.4 million shares of Series A redeemable convertible preferred stock, 0.5 million shares of Series B redeemable convertible preferred stock, and 0.9 million shares of common stock to new and existing investors at purchase prices in excess of the estimated fair value of the Series D preferred stock and common stock at the time of the transaction (2022 secondary transaction). As a result, the Company recorded a total of $17.7 million in stock-based compensation expense for the excess of the purchase price paid by these investors over the fair value of shares sold. The Company waived its rights of first refusal applicable to such shares. In connection with the secondary sales transaction, 9,721 shares of Series A were exchanged for 9,721 shares of Series A-1 preferred stock and 150,867 shares of Series B were exchanged for 150,867 shares of Series B-1 preferred stock. Upon completion of the Series D preferred stock exchange, the associated shares of common stock were retired.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certain third-party investors purchased 650,605 shares of common stock from certain employees of the Company, and in certain instances at purchase prices that were above the fair value of the common stock. As a result, the Company recorded $0.6 million stock-based compensation expense for the excess of the purchase price paid over the fair value of the shares on the date of the transaction during the year ended December 31, 2023. In connection with these secondary sales of common stock, the Company waived its right of first refusal applicable to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The holders of the Companys redeemable convertible preferred stock would be entitled to dividends in preference to common stockholders, at specified rates, if declared. Such dividends are not cumulative. Any remaining earnings would be distributed among the holders of redeemable convertible preferred stock and common stock pro rata on an as-converted basis. The holders of the Companys redeemable convertible preferred stock are not contractually obligated to participate in the Companys losses.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 </w:t>
      </w:r>
    </w:p>
    <w:p>
      <w:pPr>
        <w:pStyle w:val="TextBody"/>
        <w:bidi w:val="0"/>
        <w:spacing w:before="240" w:after="0"/>
        <w:jc w:val="left"/>
        <w:rPr>
          <w:rFonts w:ascii="Times New Roman" w:hAnsi="Times New Roman"/>
          <w:sz w:val="20"/>
        </w:rPr>
      </w:pPr>
      <w:r>
        <w:rPr>
          <w:rFonts w:ascii="Times New Roman" w:hAnsi="Times New Roman"/>
          <w:sz w:val="20"/>
        </w:rPr>
        <w:t xml:space="preserve">For the calculation of diluted net loss per share, net loss per share attributable to common stockholders for basic net loss per share is adjusted by the effect of dilutive securities, including awards under the Companys equity compensation plans. Diluted net loss per share attributable to common stockholders is computed by dividing the resulting net loss attributable to common stockholders by the weighted-average number of fully diluted common shares outstanding. For the years ended December 31, 2022 and 2023, the Companys potentially dilutive shares relating to stock options, redeemable convertible preferred stock, RSUs, and common stock warrants, were not included in the computation of diluted net loss per share as the effect of including these shares in the calculation would have been anti-dilutive.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computation of basic and diluted net loss per share attributable to the Companys common stockholders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70"/>
        <w:gridCol w:w="219"/>
        <w:gridCol w:w="196"/>
        <w:gridCol w:w="1083"/>
        <w:gridCol w:w="212"/>
        <w:gridCol w:w="236"/>
        <w:gridCol w:w="196"/>
        <w:gridCol w:w="1085"/>
        <w:gridCol w:w="158"/>
      </w:tblGrid>
      <w:tr>
        <w:trPr/>
        <w:tc>
          <w:tcPr>
            <w:tcW w:w="437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0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8"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2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(58,345</w:t>
            </w:r>
          </w:p>
        </w:tc>
        <w:tc>
          <w:tcPr>
            <w:tcW w:w="2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(26,257</w:t>
            </w:r>
          </w:p>
        </w:tc>
        <w:tc>
          <w:tcPr>
            <w:tcW w:w="158"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70"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21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34,171</w:t>
            </w:r>
          </w:p>
        </w:tc>
        <w:tc>
          <w:tcPr>
            <w:tcW w:w="2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37,131</w:t>
            </w:r>
          </w:p>
        </w:tc>
        <w:tc>
          <w:tcPr>
            <w:tcW w:w="158" w:type="dxa"/>
            <w:tcBorders/>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1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(1.71</w:t>
            </w:r>
          </w:p>
        </w:tc>
        <w:tc>
          <w:tcPr>
            <w:tcW w:w="212"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(0.71</w:t>
            </w:r>
          </w:p>
        </w:tc>
        <w:tc>
          <w:tcPr>
            <w:tcW w:w="158" w:type="dxa"/>
            <w:tcBorders/>
            <w:shd w:fill="CCEEFF" w:val="clear"/>
            <w:vAlign w:val="bottom"/>
          </w:tcPr>
          <w:p>
            <w:pPr>
              <w:pStyle w:val="TableContents"/>
              <w:bidi w:val="0"/>
              <w:spacing w:before="0" w:after="283"/>
              <w:jc w:val="left"/>
              <w:rPr/>
            </w:pPr>
            <w:r>
              <w:rPr/>
              <w:t>) </w:t>
            </w:r>
          </w:p>
        </w:tc>
      </w:tr>
      <w:tr>
        <w:trPr/>
        <w:tc>
          <w:tcPr>
            <w:tcW w:w="437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Company was in a loss position for the years ended December 31, 2022 and 2023, basic net loss per share is the same as diluted net loss per share as the inclusion of all potential common shares outstanding would have been anti-dilutive. Potentially dilutive securities that were not included in the diluted per share calculations because they would have been anti-dilutive were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88"/>
        <w:gridCol w:w="343"/>
        <w:gridCol w:w="86"/>
        <w:gridCol w:w="1162"/>
        <w:gridCol w:w="86"/>
        <w:gridCol w:w="376"/>
        <w:gridCol w:w="86"/>
        <w:gridCol w:w="1165"/>
        <w:gridCol w:w="63"/>
      </w:tblGrid>
      <w:tr>
        <w:trPr/>
        <w:tc>
          <w:tcPr>
            <w:tcW w:w="4388"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8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9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3" w:type="dxa"/>
            <w:tcBorders/>
            <w:vAlign w:val="bottom"/>
          </w:tcPr>
          <w:p>
            <w:pPr>
              <w:pStyle w:val="TableContents"/>
              <w:bidi w:val="0"/>
              <w:spacing w:before="0" w:after="283"/>
              <w:jc w:val="left"/>
              <w:rPr/>
            </w:pPr>
            <w:r>
              <w:rPr/>
              <w:t> </w:t>
            </w:r>
          </w:p>
        </w:tc>
      </w:tr>
      <w:tr>
        <w:trPr/>
        <w:tc>
          <w:tcPr>
            <w:tcW w:w="4388"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8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3"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34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90,891</w:t>
            </w:r>
          </w:p>
        </w:tc>
        <w:tc>
          <w:tcPr>
            <w:tcW w:w="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90,891</w:t>
            </w:r>
          </w:p>
        </w:tc>
        <w:tc>
          <w:tcPr>
            <w:tcW w:w="63"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34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12,337</w:t>
            </w:r>
          </w:p>
        </w:tc>
        <w:tc>
          <w:tcPr>
            <w:tcW w:w="8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10,050</w:t>
            </w:r>
          </w:p>
        </w:tc>
        <w:tc>
          <w:tcPr>
            <w:tcW w:w="63" w:type="dxa"/>
            <w:tcBorders/>
            <w:vAlign w:val="bottom"/>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RSUs</w:t>
            </w:r>
          </w:p>
        </w:tc>
        <w:tc>
          <w:tcPr>
            <w:tcW w:w="34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5,108</w:t>
            </w:r>
          </w:p>
        </w:tc>
        <w:tc>
          <w:tcPr>
            <w:tcW w:w="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8,583</w:t>
            </w:r>
          </w:p>
        </w:tc>
        <w:tc>
          <w:tcPr>
            <w:tcW w:w="63" w:type="dxa"/>
            <w:tcBorders/>
            <w:shd w:fill="CCEEFF" w:val="clear"/>
            <w:vAlign w:val="bottom"/>
          </w:tcPr>
          <w:p>
            <w:pPr>
              <w:pStyle w:val="TableContents"/>
              <w:bidi w:val="0"/>
              <w:spacing w:before="0" w:after="283"/>
              <w:jc w:val="left"/>
              <w:rPr/>
            </w:pPr>
            <w:r>
              <w:rPr/>
              <w:t> </w:t>
            </w:r>
          </w:p>
        </w:tc>
      </w:tr>
      <w:tr>
        <w:trPr/>
        <w:tc>
          <w:tcPr>
            <w:tcW w:w="4388" w:type="dxa"/>
            <w:tcBorders/>
          </w:tcPr>
          <w:p>
            <w:pPr>
              <w:pStyle w:val="TableContents"/>
              <w:bidi w:val="0"/>
              <w:spacing w:before="0" w:after="0"/>
              <w:jc w:val="left"/>
              <w:rPr>
                <w:rFonts w:ascii="Times New Roman" w:hAnsi="Times New Roman"/>
                <w:sz w:val="20"/>
              </w:rPr>
            </w:pPr>
            <w:r>
              <w:rPr>
                <w:rFonts w:ascii="Times New Roman" w:hAnsi="Times New Roman"/>
                <w:sz w:val="20"/>
              </w:rPr>
              <w:t>Warrants for common stock</w:t>
            </w:r>
          </w:p>
        </w:tc>
        <w:tc>
          <w:tcPr>
            <w:tcW w:w="34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1,610</w:t>
            </w:r>
          </w:p>
        </w:tc>
        <w:tc>
          <w:tcPr>
            <w:tcW w:w="8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2,442</w:t>
            </w:r>
          </w:p>
        </w:tc>
        <w:tc>
          <w:tcPr>
            <w:tcW w:w="63" w:type="dxa"/>
            <w:tcBorders/>
            <w:vAlign w:val="bottom"/>
          </w:tcPr>
          <w:p>
            <w:pPr>
              <w:pStyle w:val="TableContents"/>
              <w:bidi w:val="0"/>
              <w:spacing w:before="0" w:after="283"/>
              <w:jc w:val="left"/>
              <w:rPr/>
            </w:pPr>
            <w:r>
              <w:rPr/>
              <w:t> </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3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109,946</w:t>
            </w:r>
          </w:p>
        </w:tc>
        <w:tc>
          <w:tcPr>
            <w:tcW w:w="8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111,966</w:t>
            </w:r>
          </w:p>
        </w:tc>
        <w:tc>
          <w:tcPr>
            <w:tcW w:w="63" w:type="dxa"/>
            <w:tcBorders/>
            <w:shd w:fill="CCEEFF" w:val="clear"/>
            <w:vAlign w:val="bottom"/>
          </w:tcPr>
          <w:p>
            <w:pPr>
              <w:pStyle w:val="TableContents"/>
              <w:bidi w:val="0"/>
              <w:spacing w:before="0" w:after="283"/>
              <w:jc w:val="left"/>
              <w:rPr/>
            </w:pPr>
            <w:r>
              <w:rPr/>
              <w:t> </w:t>
            </w:r>
          </w:p>
        </w:tc>
      </w:tr>
      <w:tr>
        <w:trPr/>
        <w:tc>
          <w:tcPr>
            <w:tcW w:w="4388"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86"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U.S. and non-U.S. components of loss before income taxes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3"/>
        <w:gridCol w:w="373"/>
        <w:gridCol w:w="192"/>
        <w:gridCol w:w="1067"/>
        <w:gridCol w:w="207"/>
        <w:gridCol w:w="403"/>
        <w:gridCol w:w="192"/>
        <w:gridCol w:w="1069"/>
        <w:gridCol w:w="159"/>
      </w:tblGrid>
      <w:tr>
        <w:trPr/>
        <w:tc>
          <w:tcPr>
            <w:tcW w:w="4093"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93"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4093"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0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4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7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(58,059</w:t>
            </w:r>
          </w:p>
        </w:tc>
        <w:tc>
          <w:tcPr>
            <w:tcW w:w="207"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(23,655</w:t>
            </w:r>
          </w:p>
        </w:tc>
        <w:tc>
          <w:tcPr>
            <w:tcW w:w="159" w:type="dxa"/>
            <w:tcBorders/>
            <w:shd w:fill="CCEEFF" w:val="clear"/>
            <w:vAlign w:val="bottom"/>
          </w:tcPr>
          <w:p>
            <w:pPr>
              <w:pStyle w:val="TableContents"/>
              <w:bidi w:val="0"/>
              <w:spacing w:before="0" w:after="283"/>
              <w:jc w:val="left"/>
              <w:rPr/>
            </w:pPr>
            <w:r>
              <w:rPr/>
              <w:t>) </w:t>
            </w:r>
          </w:p>
        </w:tc>
      </w:tr>
      <w:tr>
        <w:trPr/>
        <w:tc>
          <w:tcPr>
            <w:tcW w:w="4093"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37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478</w:t>
            </w:r>
          </w:p>
        </w:tc>
        <w:tc>
          <w:tcPr>
            <w:tcW w:w="20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707</w:t>
            </w:r>
          </w:p>
        </w:tc>
        <w:tc>
          <w:tcPr>
            <w:tcW w:w="159" w:type="dxa"/>
            <w:tcBorders/>
            <w:vAlign w:val="bottom"/>
          </w:tcPr>
          <w:p>
            <w:pPr>
              <w:pStyle w:val="TableContents"/>
              <w:bidi w:val="0"/>
              <w:spacing w:before="0" w:after="283"/>
              <w:jc w:val="left"/>
              <w:rPr/>
            </w:pPr>
            <w:r>
              <w:rPr/>
              <w:t> </w:t>
            </w:r>
          </w:p>
        </w:tc>
      </w:tr>
      <w:tr>
        <w:trPr/>
        <w:tc>
          <w:tcPr>
            <w:tcW w:w="4093"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0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incomes taxes</w:t>
            </w:r>
          </w:p>
        </w:tc>
        <w:tc>
          <w:tcPr>
            <w:tcW w:w="37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(57,581</w:t>
            </w:r>
          </w:p>
        </w:tc>
        <w:tc>
          <w:tcPr>
            <w:tcW w:w="207"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(22,948</w:t>
            </w:r>
          </w:p>
        </w:tc>
        <w:tc>
          <w:tcPr>
            <w:tcW w:w="159" w:type="dxa"/>
            <w:tcBorders/>
            <w:shd w:fill="CCEEFF" w:val="clear"/>
            <w:vAlign w:val="bottom"/>
          </w:tcPr>
          <w:p>
            <w:pPr>
              <w:pStyle w:val="TableContents"/>
              <w:bidi w:val="0"/>
              <w:spacing w:before="0" w:after="283"/>
              <w:jc w:val="left"/>
              <w:rPr/>
            </w:pPr>
            <w:r>
              <w:rPr/>
              <w:t>) </w:t>
            </w:r>
          </w:p>
        </w:tc>
      </w:tr>
      <w:tr>
        <w:trPr/>
        <w:tc>
          <w:tcPr>
            <w:tcW w:w="4093"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50"/>
        <w:gridCol w:w="520"/>
        <w:gridCol w:w="288"/>
        <w:gridCol w:w="753"/>
        <w:gridCol w:w="117"/>
        <w:gridCol w:w="624"/>
        <w:gridCol w:w="288"/>
        <w:gridCol w:w="1156"/>
        <w:gridCol w:w="159"/>
      </w:tblGrid>
      <w:tr>
        <w:trPr/>
        <w:tc>
          <w:tcPr>
            <w:tcW w:w="3850"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17"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850"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53" w:type="dxa"/>
            <w:tcBorders/>
            <w:vAlign w:val="bottom"/>
          </w:tcPr>
          <w:p>
            <w:pPr>
              <w:pStyle w:val="TableContents"/>
              <w:bidi w:val="0"/>
              <w:spacing w:before="0" w:after="283"/>
              <w:jc w:val="right"/>
              <w:rPr/>
            </w:pPr>
            <w:r>
              <w:rPr/>
              <w:t>666</w:t>
            </w:r>
          </w:p>
        </w:tc>
        <w:tc>
          <w:tcPr>
            <w:tcW w:w="117"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3,144</w:t>
            </w:r>
          </w:p>
        </w:tc>
        <w:tc>
          <w:tcPr>
            <w:tcW w:w="159" w:type="dxa"/>
            <w:tcBorders/>
            <w:vAlign w:val="bottom"/>
          </w:tcPr>
          <w:p>
            <w:pPr>
              <w:pStyle w:val="TableContents"/>
              <w:bidi w:val="0"/>
              <w:spacing w:before="0" w:after="283"/>
              <w:jc w:val="left"/>
              <w:rPr/>
            </w:pPr>
            <w:r>
              <w:rPr/>
              <w:t> </w:t>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6</w:t>
            </w:r>
          </w:p>
        </w:tc>
        <w:tc>
          <w:tcPr>
            <w:tcW w:w="11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206</w:t>
            </w:r>
          </w:p>
        </w:tc>
        <w:tc>
          <w:tcPr>
            <w:tcW w:w="159" w:type="dxa"/>
            <w:tcBorders/>
            <w:shd w:fill="CCEEFF" w:val="clear"/>
            <w:vAlign w:val="bottom"/>
          </w:tcPr>
          <w:p>
            <w:pPr>
              <w:pStyle w:val="TableContents"/>
              <w:bidi w:val="0"/>
              <w:spacing w:before="0" w:after="283"/>
              <w:jc w:val="left"/>
              <w:rPr/>
            </w:pPr>
            <w:r>
              <w:rPr/>
              <w:t> </w:t>
            </w:r>
          </w:p>
        </w:tc>
      </w:tr>
      <w:tr>
        <w:trPr/>
        <w:tc>
          <w:tcPr>
            <w:tcW w:w="3850"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92</w:t>
            </w:r>
          </w:p>
        </w:tc>
        <w:tc>
          <w:tcPr>
            <w:tcW w:w="117"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(41</w:t>
            </w:r>
          </w:p>
        </w:tc>
        <w:tc>
          <w:tcPr>
            <w:tcW w:w="159" w:type="dxa"/>
            <w:tcBorders/>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tax expense</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764</w:t>
            </w:r>
          </w:p>
        </w:tc>
        <w:tc>
          <w:tcPr>
            <w:tcW w:w="11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3,309</w:t>
            </w:r>
          </w:p>
        </w:tc>
        <w:tc>
          <w:tcPr>
            <w:tcW w:w="159" w:type="dxa"/>
            <w:tcBorders/>
            <w:shd w:fill="CCEEFF" w:val="clear"/>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0"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53"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850"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International</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bidi w:val="0"/>
              <w:spacing w:before="0" w:after="283"/>
              <w:jc w:val="right"/>
              <w:rPr/>
            </w:pPr>
            <w:r>
              <w:rPr/>
              <w:t> </w:t>
            </w:r>
          </w:p>
        </w:tc>
        <w:tc>
          <w:tcPr>
            <w:tcW w:w="11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0"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expense</w:t>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53"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income tax expense</w:t>
            </w:r>
          </w:p>
        </w:tc>
        <w:tc>
          <w:tcPr>
            <w:tcW w:w="5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53" w:type="dxa"/>
            <w:tcBorders/>
            <w:shd w:fill="CCEEFF" w:val="clear"/>
            <w:vAlign w:val="bottom"/>
          </w:tcPr>
          <w:p>
            <w:pPr>
              <w:pStyle w:val="TableContents"/>
              <w:bidi w:val="0"/>
              <w:spacing w:before="0" w:after="283"/>
              <w:jc w:val="right"/>
              <w:rPr/>
            </w:pPr>
            <w:r>
              <w:rPr/>
              <w:t>764</w:t>
            </w:r>
          </w:p>
        </w:tc>
        <w:tc>
          <w:tcPr>
            <w:tcW w:w="117"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3,309</w:t>
            </w:r>
          </w:p>
        </w:tc>
        <w:tc>
          <w:tcPr>
            <w:tcW w:w="159" w:type="dxa"/>
            <w:tcBorders/>
            <w:shd w:fill="CCEEFF" w:val="clear"/>
            <w:vAlign w:val="bottom"/>
          </w:tcPr>
          <w:p>
            <w:pPr>
              <w:pStyle w:val="TableContents"/>
              <w:bidi w:val="0"/>
              <w:spacing w:before="0" w:after="283"/>
              <w:jc w:val="left"/>
              <w:rPr/>
            </w:pPr>
            <w:r>
              <w:rPr/>
              <w:t> </w:t>
            </w:r>
          </w:p>
        </w:tc>
      </w:tr>
      <w:tr>
        <w:trPr/>
        <w:tc>
          <w:tcPr>
            <w:tcW w:w="385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53" w:type="dxa"/>
            <w:tcBorders/>
            <w:vAlign w:val="bottom"/>
          </w:tcPr>
          <w:p>
            <w:pPr>
              <w:pStyle w:val="TableContents"/>
              <w:pBdr>
                <w:top w:val="double" w:sz="6"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624"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effective tax rate differs from the U.S. federal statutory rate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26"/>
        <w:gridCol w:w="521"/>
        <w:gridCol w:w="105"/>
        <w:gridCol w:w="927"/>
        <w:gridCol w:w="616"/>
        <w:gridCol w:w="470"/>
        <w:gridCol w:w="105"/>
        <w:gridCol w:w="932"/>
        <w:gridCol w:w="353"/>
      </w:tblGrid>
      <w:tr>
        <w:trPr/>
        <w:tc>
          <w:tcPr>
            <w:tcW w:w="3726"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7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3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353" w:type="dxa"/>
            <w:tcBorders/>
            <w:vAlign w:val="bottom"/>
          </w:tcPr>
          <w:p>
            <w:pPr>
              <w:pStyle w:val="TableContents"/>
              <w:bidi w:val="0"/>
              <w:spacing w:before="0" w:after="283"/>
              <w:jc w:val="left"/>
              <w:rPr/>
            </w:pPr>
            <w:r>
              <w:rPr/>
              <w:t> </w:t>
            </w:r>
          </w:p>
        </w:tc>
      </w:tr>
      <w:tr>
        <w:trPr/>
        <w:tc>
          <w:tcPr>
            <w:tcW w:w="3726"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16"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53"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statutory tax</w:t>
            </w:r>
          </w:p>
        </w:tc>
        <w:tc>
          <w:tcPr>
            <w:tcW w:w="5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21.0</w:t>
            </w:r>
          </w:p>
        </w:tc>
        <w:tc>
          <w:tcPr>
            <w:tcW w:w="616"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21.0</w:t>
            </w:r>
          </w:p>
        </w:tc>
        <w:tc>
          <w:tcPr>
            <w:tcW w:w="353"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State taxes</w:t>
            </w:r>
          </w:p>
        </w:tc>
        <w:tc>
          <w:tcPr>
            <w:tcW w:w="5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2.3</w:t>
            </w:r>
          </w:p>
        </w:tc>
        <w:tc>
          <w:tcPr>
            <w:tcW w:w="616"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7.7</w:t>
            </w:r>
          </w:p>
        </w:tc>
        <w:tc>
          <w:tcPr>
            <w:tcW w:w="353"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5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(17.2</w:t>
            </w:r>
          </w:p>
        </w:tc>
        <w:tc>
          <w:tcPr>
            <w:tcW w:w="616"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(78.9</w:t>
            </w:r>
          </w:p>
        </w:tc>
        <w:tc>
          <w:tcPr>
            <w:tcW w:w="353"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General business credits</w:t>
            </w:r>
          </w:p>
        </w:tc>
        <w:tc>
          <w:tcPr>
            <w:tcW w:w="5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2.6</w:t>
            </w:r>
          </w:p>
        </w:tc>
        <w:tc>
          <w:tcPr>
            <w:tcW w:w="616"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13.0</w:t>
            </w:r>
          </w:p>
        </w:tc>
        <w:tc>
          <w:tcPr>
            <w:tcW w:w="353" w:type="dxa"/>
            <w:tcBorders/>
            <w:vAlign w:val="bottom"/>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5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(10.0</w:t>
            </w:r>
          </w:p>
        </w:tc>
        <w:tc>
          <w:tcPr>
            <w:tcW w:w="616"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19.3</w:t>
            </w:r>
          </w:p>
        </w:tc>
        <w:tc>
          <w:tcPr>
            <w:tcW w:w="353" w:type="dxa"/>
            <w:tcBorders/>
            <w:shd w:fill="CCEEFF" w:val="clear"/>
            <w:vAlign w:val="bottom"/>
          </w:tcPr>
          <w:p>
            <w:pPr>
              <w:pStyle w:val="TableContents"/>
              <w:bidi w:val="0"/>
              <w:spacing w:before="0" w:after="283"/>
              <w:jc w:val="left"/>
              <w:rPr/>
            </w:pPr>
            <w:r>
              <w:rPr/>
              <w:t> </w:t>
            </w:r>
          </w:p>
        </w:tc>
      </w:tr>
      <w:tr>
        <w:trPr/>
        <w:tc>
          <w:tcPr>
            <w:tcW w:w="3726"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616"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3.4</w:t>
            </w:r>
          </w:p>
        </w:tc>
        <w:tc>
          <w:tcPr>
            <w:tcW w:w="353" w:type="dxa"/>
            <w:tcBorders/>
            <w:vAlign w:val="bottom"/>
          </w:tcPr>
          <w:p>
            <w:pPr>
              <w:pStyle w:val="TableContents"/>
              <w:bidi w:val="0"/>
              <w:spacing w:before="0" w:after="283"/>
              <w:jc w:val="left"/>
              <w:rPr/>
            </w:pPr>
            <w:r>
              <w:rPr/>
              <w:t> </w:t>
            </w:r>
          </w:p>
        </w:tc>
      </w:tr>
      <w:tr>
        <w:trPr/>
        <w:tc>
          <w:tcPr>
            <w:tcW w:w="3726"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27" w:type="dxa"/>
            <w:tcBorders/>
            <w:vAlign w:val="bottom"/>
          </w:tcPr>
          <w:p>
            <w:pPr>
              <w:pStyle w:val="TableContents"/>
              <w:pBdr>
                <w:top w:val="single" w:sz="2" w:space="1" w:color="000000"/>
              </w:pBdr>
              <w:bidi w:val="0"/>
              <w:spacing w:before="0" w:after="0"/>
              <w:jc w:val="left"/>
              <w:rPr/>
            </w:pPr>
            <w:r>
              <w:rPr/>
              <w:t> </w:t>
            </w:r>
          </w:p>
        </w:tc>
        <w:tc>
          <w:tcPr>
            <w:tcW w:w="616"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r>
        <w:trPr/>
        <w:tc>
          <w:tcPr>
            <w:tcW w:w="37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5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(1.3</w:t>
            </w:r>
          </w:p>
        </w:tc>
        <w:tc>
          <w:tcPr>
            <w:tcW w:w="616"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(14.5</w:t>
            </w:r>
          </w:p>
        </w:tc>
        <w:tc>
          <w:tcPr>
            <w:tcW w:w="353" w:type="dxa"/>
            <w:tcBorders/>
            <w:shd w:fill="CCEEFF" w:val="clear"/>
            <w:vAlign w:val="bottom"/>
          </w:tcPr>
          <w:p>
            <w:pPr>
              <w:pStyle w:val="TableContents"/>
              <w:bidi w:val="0"/>
              <w:spacing w:before="0" w:after="283"/>
              <w:jc w:val="left"/>
              <w:rPr/>
            </w:pPr>
            <w:r>
              <w:rPr/>
              <w:t>)% </w:t>
            </w:r>
          </w:p>
        </w:tc>
      </w:tr>
      <w:tr>
        <w:trPr/>
        <w:tc>
          <w:tcPr>
            <w:tcW w:w="3726" w:type="dxa"/>
            <w:tcBorders/>
            <w:vAlign w:val="bottom"/>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927" w:type="dxa"/>
            <w:tcBorders/>
            <w:vAlign w:val="bottom"/>
          </w:tcPr>
          <w:p>
            <w:pPr>
              <w:pStyle w:val="TableContents"/>
              <w:pBdr>
                <w:top w:val="double" w:sz="6" w:space="1" w:color="000000"/>
              </w:pBdr>
              <w:bidi w:val="0"/>
              <w:spacing w:before="0" w:after="0"/>
              <w:jc w:val="left"/>
              <w:rPr/>
            </w:pPr>
            <w:r>
              <w:rPr/>
              <w:t> </w:t>
            </w:r>
          </w:p>
        </w:tc>
        <w:tc>
          <w:tcPr>
            <w:tcW w:w="616"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932" w:type="dxa"/>
            <w:tcBorders/>
            <w:vAlign w:val="bottom"/>
          </w:tcPr>
          <w:p>
            <w:pPr>
              <w:pStyle w:val="TableContents"/>
              <w:pBdr>
                <w:top w:val="double" w:sz="6" w:space="1" w:color="000000"/>
              </w:pBdr>
              <w:bidi w:val="0"/>
              <w:spacing w:before="0" w:after="0"/>
              <w:jc w:val="left"/>
              <w:rPr/>
            </w:pPr>
            <w:r>
              <w:rPr/>
              <w:t> </w:t>
            </w:r>
          </w:p>
        </w:tc>
        <w:tc>
          <w:tcPr>
            <w:tcW w:w="35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stock-based compensation and stock-based compensation related to secondary transactions, Section 83(b) election, and excess tax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41"/>
        <w:gridCol w:w="395"/>
        <w:gridCol w:w="140"/>
        <w:gridCol w:w="765"/>
        <w:gridCol w:w="155"/>
        <w:gridCol w:w="395"/>
        <w:gridCol w:w="140"/>
        <w:gridCol w:w="765"/>
        <w:gridCol w:w="159"/>
      </w:tblGrid>
      <w:tr>
        <w:trPr/>
        <w:tc>
          <w:tcPr>
            <w:tcW w:w="4841"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4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losses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925</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678</w:t>
            </w:r>
          </w:p>
        </w:tc>
        <w:tc>
          <w:tcPr>
            <w:tcW w:w="159" w:type="dxa"/>
            <w:tcBorders/>
            <w:vAlign w:val="bottom"/>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business credits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3,155</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4,291</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Intangibles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19,353</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30,806</w:t>
            </w:r>
          </w:p>
        </w:tc>
        <w:tc>
          <w:tcPr>
            <w:tcW w:w="159" w:type="dxa"/>
            <w:tcBorders/>
            <w:vAlign w:val="bottom"/>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1,586</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2,727</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436</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3,297</w:t>
            </w:r>
          </w:p>
        </w:tc>
        <w:tc>
          <w:tcPr>
            <w:tcW w:w="159" w:type="dxa"/>
            <w:tcBorders/>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 before valuation allowance</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25,455</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41,799</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 Section 83(b) elections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(3,230</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(1,145</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ROU assets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(500</w:t>
            </w:r>
          </w:p>
        </w:tc>
        <w:tc>
          <w:tcPr>
            <w:tcW w:w="159" w:type="dxa"/>
            <w:tcBorders/>
            <w:vAlign w:val="bottom"/>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(715</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(831</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(4,228</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(2,476</w:t>
            </w:r>
          </w:p>
        </w:tc>
        <w:tc>
          <w:tcPr>
            <w:tcW w:w="159" w:type="dxa"/>
            <w:tcBorders/>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(21,227</w:t>
            </w:r>
          </w:p>
        </w:tc>
        <w:tc>
          <w:tcPr>
            <w:tcW w:w="15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(39,323</w:t>
            </w:r>
          </w:p>
        </w:tc>
        <w:tc>
          <w:tcPr>
            <w:tcW w:w="159" w:type="dxa"/>
            <w:tcBorders/>
            <w:shd w:fill="CCEEFF" w:val="clear"/>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41"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 after valuation allowance</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841"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Primarily relates to capitalized R&amp;D. Beginning January 1, 2022, the Tax Cuts and Jobs Act, or the Tax Act, eliminated the option to deduct research and development expenditures in the current year and requires taxpayers to capitalize such expenses pursuant to Internal Revenue Code Section 174. The capitalized expenses are amortized over a 5-year period for domestic expenses and a 15-year period for foreign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the need for a valuation allowance, the Company reviewed both positive and negative evidence pursuant to the requirements of ASC 740, </w:t>
      </w:r>
      <w:r>
        <w:rPr>
          <w:rFonts w:ascii="Times New Roman" w:hAnsi="Times New Roman"/>
          <w:i/>
          <w:sz w:val="20"/>
        </w:rPr>
        <w:t>Income Taxes</w:t>
      </w:r>
      <w:r>
        <w:rPr>
          <w:rFonts w:ascii="Times New Roman" w:hAnsi="Times New Roman"/>
          <w:sz w:val="20"/>
        </w:rPr>
        <w:t xml:space="preserve">, including current and historical results of operations, future income projections, and potential tax planning strategies. A significant piece of objective negative evidence evaluated was the cumulative loss incurred over the four-year period ended December 31, 2023. Such objective evidence limits the ability to consider other subjective evidence such as its projections for future growth. On the basis of this evaluation, as of December 31, 2022, a valuation allowance of $21.2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been recorded, which reflects an increase in the valuation allowance of $9.9 million for the year ended December 31, 2022. As of December 31, 2023, a valuation allowance of $39.3 million has been recorded, which reflects an increase in the valuation allowance of $18.1 million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2023, the Company had gross federal net operating loss carryforwards of approximately $2.1 million and $2.0 million, respectively, which can be carried forward indefinitely, and state net operating loss carryforwards of $6.8 million and $3.7 million, respectively, which begin to expire in 2039. Net operating losses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performed a preliminary Section 382 analysis through December 31, 2022 and based on this analysis, approximately $0.2 million of its federal R&amp;D credits will expire unutilized and has therefore removed them from the deferred tax asset and related carryforward disclosures as of December 31, 2022. No further Section 382 analysis was performed for 2023 as the Company does not expect any limitation relating to ownership change due to the increased valuation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tax benefits. A liability is recognized (or amount of the tax attribute carry forward reduced) for unrecognized tax benefit because it represents an enterprises potential future obligation to the taxing authority for a tax position that was not recognized as a result of applying the provisions of ASC 740.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approximately $3.2 million and $4.0 million unrecognized tax benefits as of December 31, 2022 and 2023. The unrecognized tax benefits, if recognized, would have an impact of $1.4 million on the Companys effective tax rate assuming the Company continues to maintain a full valuation allowance position.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 of the Companys unrecognized tax benefits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0"/>
        <w:gridCol w:w="515"/>
        <w:gridCol w:w="220"/>
        <w:gridCol w:w="880"/>
        <w:gridCol w:w="251"/>
        <w:gridCol w:w="573"/>
        <w:gridCol w:w="220"/>
        <w:gridCol w:w="1027"/>
        <w:gridCol w:w="159"/>
      </w:tblGrid>
      <w:tr>
        <w:trPr/>
        <w:tc>
          <w:tcPr>
            <w:tcW w:w="3910"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59"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51"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9"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period</w:t>
            </w:r>
          </w:p>
        </w:tc>
        <w:tc>
          <w:tcPr>
            <w:tcW w:w="51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2,005</w:t>
            </w:r>
          </w:p>
        </w:tc>
        <w:tc>
          <w:tcPr>
            <w:tcW w:w="251"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027" w:type="dxa"/>
            <w:tcBorders/>
            <w:shd w:fill="CCEEFF" w:val="clear"/>
            <w:vAlign w:val="bottom"/>
          </w:tcPr>
          <w:p>
            <w:pPr>
              <w:pStyle w:val="TableContents"/>
              <w:bidi w:val="0"/>
              <w:spacing w:before="0" w:after="283"/>
              <w:jc w:val="right"/>
              <w:rPr/>
            </w:pPr>
            <w:r>
              <w:rPr/>
              <w:t>3,162</w:t>
            </w:r>
          </w:p>
        </w:tc>
        <w:tc>
          <w:tcPr>
            <w:tcW w:w="159"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Decreases related to prior year tax positions</w:t>
            </w:r>
          </w:p>
        </w:tc>
        <w:tc>
          <w:tcPr>
            <w:tcW w:w="51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(844</w:t>
            </w:r>
          </w:p>
        </w:tc>
        <w:tc>
          <w:tcPr>
            <w:tcW w:w="251"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(1,024</w:t>
            </w:r>
          </w:p>
        </w:tc>
        <w:tc>
          <w:tcPr>
            <w:tcW w:w="159"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Increases related to current year tax positions</w:t>
            </w:r>
          </w:p>
        </w:tc>
        <w:tc>
          <w:tcPr>
            <w:tcW w:w="51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2,001</w:t>
            </w:r>
          </w:p>
        </w:tc>
        <w:tc>
          <w:tcPr>
            <w:tcW w:w="251"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1,855</w:t>
            </w:r>
          </w:p>
        </w:tc>
        <w:tc>
          <w:tcPr>
            <w:tcW w:w="159"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251" w:type="dxa"/>
            <w:tcBorders/>
            <w:vAlign w:val="center"/>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end of period</w:t>
            </w:r>
          </w:p>
        </w:tc>
        <w:tc>
          <w:tcPr>
            <w:tcW w:w="51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880" w:type="dxa"/>
            <w:tcBorders/>
            <w:vAlign w:val="bottom"/>
          </w:tcPr>
          <w:p>
            <w:pPr>
              <w:pStyle w:val="TableContents"/>
              <w:bidi w:val="0"/>
              <w:spacing w:before="0" w:after="283"/>
              <w:jc w:val="right"/>
              <w:rPr/>
            </w:pPr>
            <w:r>
              <w:rPr/>
              <w:t>3,162</w:t>
            </w:r>
          </w:p>
        </w:tc>
        <w:tc>
          <w:tcPr>
            <w:tcW w:w="251"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027" w:type="dxa"/>
            <w:tcBorders/>
            <w:vAlign w:val="bottom"/>
          </w:tcPr>
          <w:p>
            <w:pPr>
              <w:pStyle w:val="TableContents"/>
              <w:bidi w:val="0"/>
              <w:spacing w:before="0" w:after="283"/>
              <w:jc w:val="right"/>
              <w:rPr/>
            </w:pPr>
            <w:r>
              <w:rPr/>
              <w:t>3,993</w:t>
            </w:r>
          </w:p>
        </w:tc>
        <w:tc>
          <w:tcPr>
            <w:tcW w:w="159"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251" w:type="dxa"/>
            <w:tcBorders/>
            <w:vAlign w:val="center"/>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other expense and interest expense, respectively, as necessary. The Company determined that no accrual for interest and penalties related to unrecognized tax benefits was required as of December 31, 2022 and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currently under examination by the United States Internal Revenue Service or any other state, city, local or foreign jurisdiction. The Companys tax years from inception are subject to examination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Internal Revenue Service and state taxing authorities. The Company does not anticipate any significant changes to its unrecognized tax positions within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 The foreign withholding taxes would not have a material impact on the Companys financial position and results of operation. As of December 31, 2022 and 2023, the Company had $0.5 million and $1.3 million in unremitted earnings that were permanently reinvested related to its consolidated foreign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February 20, 2024, the date these consolidated financial statements were available to be issued, and has determined that the following subsequent events require disclosure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filed an Amended and Restated Certificate of Incorporation with the Delaware Secretary of State on January 22, 2024, effective immediately. The Amended and Restated Certificate Incorporation resulted in an increase to the authorized shares of the Companys common stock from 162,641,331 to 163,375,000 shares.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25, 2024, the board of directors authorized to increase the maximum aggregate number of shares that may be issued under the 2018 Plan from 37.5 million to 46.4 million.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2024, the Companys board of directors approved the grant of 5,533,670 RSUs for its executive officers. The RSUs are subject to a service-based vesting condition, which is satisfied over four years.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12, 2024, a two-for-one reverse stock split of the Companys redeemable convertible preferred stock, common stock, stock option, stock appreciation rights, restricted stock units, and common stock warrants was effected without any changes to the par value. All information related to the Companys redeemable convertible preferred stock, common stock, stock option, stock appreciation rights, restricted stock units, and common stock warrants, as well as all per share data included in these financial statements have been retrospectively adjusted to reflect the two-for-one reverse stock split for all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115175" cy="914400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711517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Shares AsteraLabs. Astera Labs, Inc. Common Stock Preliminary Prospectus MORGAN STANLEY J.P. MORGAN BARCLAYS DEUTSCHE BANK SECURITIES EVERCORE ISI JEFFERIES NEEDHAM &amp; COMPANY STIFEL CRAIG-HALLUM CAPITAL GROUP ROTH CAPITAL PARTNERS ,2024 Through and including   , 2024 (the 25th day after the date of this prospectus), all dealers effecting transactions in the sesecurities, whether or not participating in this offering, may be required to deliver a prospectus. This is in addition to the dealers obligation to deliver a prospectus when acting as underwriters and with respect to their unsold allotments or subscriptions.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19925" cy="91440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7019925"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Our Mission To innovate, design, and deliver semiconductor-based connectivity solutions that are purpose-built to unleash the full potential of cloud and AI infrastructure.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all expenses to be paid by us, other than underwriting discounts and commissions, in connection with this offering. All amounts shown are estimates except for the SEC registration fee, the FINRA filing fee and the Nasdaq listing fee. </w:t>
      </w:r>
    </w:p>
    <w:p>
      <w:pPr>
        <w:pStyle w:val="TextBody"/>
        <w:bidi w:val="0"/>
        <w:spacing w:before="0" w:after="0"/>
        <w:jc w:val="left"/>
        <w:rPr/>
      </w:pPr>
      <w:r>
        <w:rPr/>
        <w:t> </w:t>
      </w:r>
    </w:p>
    <w:tbl>
      <w:tblPr>
        <w:tblW w:w="3750" w:type="pct"/>
        <w:jc w:val="center"/>
        <w:tblInd w:w="0" w:type="dxa"/>
        <w:tblLayout w:type="fixed"/>
        <w:tblCellMar>
          <w:top w:w="0" w:type="dxa"/>
          <w:left w:w="0" w:type="dxa"/>
          <w:bottom w:w="0" w:type="dxa"/>
          <w:right w:w="0" w:type="dxa"/>
        </w:tblCellMar>
      </w:tblPr>
      <w:tblGrid>
        <w:gridCol w:w="6419"/>
        <w:gridCol w:w="325"/>
        <w:gridCol w:w="143"/>
        <w:gridCol w:w="704"/>
        <w:gridCol w:w="62"/>
      </w:tblGrid>
      <w:tr>
        <w:trPr/>
        <w:tc>
          <w:tcPr>
            <w:tcW w:w="64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4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Amount</w:t>
            </w:r>
          </w:p>
        </w:tc>
        <w:tc>
          <w:tcPr>
            <w:tcW w:w="62" w:type="dxa"/>
            <w:tcBorders/>
            <w:vAlign w:val="bottom"/>
          </w:tcPr>
          <w:p>
            <w:pPr>
              <w:pStyle w:val="TableContents"/>
              <w:bidi w:val="0"/>
              <w:spacing w:before="0" w:after="283"/>
              <w:jc w:val="left"/>
              <w:rPr/>
            </w:pPr>
            <w:r>
              <w:rPr/>
              <w:t> </w:t>
            </w:r>
          </w:p>
        </w:tc>
      </w:tr>
      <w:tr>
        <w:trPr/>
        <w:tc>
          <w:tcPr>
            <w:tcW w:w="6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14,760</w:t>
            </w:r>
          </w:p>
        </w:tc>
        <w:tc>
          <w:tcPr>
            <w:tcW w:w="62" w:type="dxa"/>
            <w:tcBorders/>
            <w:shd w:fill="CCEEFF" w:val="clear"/>
            <w:vAlign w:val="bottom"/>
          </w:tcPr>
          <w:p>
            <w:pPr>
              <w:pStyle w:val="TableContents"/>
              <w:bidi w:val="0"/>
              <w:spacing w:before="0" w:after="283"/>
              <w:jc w:val="left"/>
              <w:rPr/>
            </w:pPr>
            <w:r>
              <w:rPr/>
              <w:t> </w:t>
            </w:r>
          </w:p>
        </w:tc>
      </w:tr>
      <w:tr>
        <w:trPr/>
        <w:tc>
          <w:tcPr>
            <w:tcW w:w="641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15,500</w:t>
            </w:r>
          </w:p>
        </w:tc>
        <w:tc>
          <w:tcPr>
            <w:tcW w:w="62" w:type="dxa"/>
            <w:tcBorders/>
            <w:vAlign w:val="bottom"/>
          </w:tcPr>
          <w:p>
            <w:pPr>
              <w:pStyle w:val="TableContents"/>
              <w:bidi w:val="0"/>
              <w:spacing w:before="0" w:after="283"/>
              <w:jc w:val="left"/>
              <w:rPr/>
            </w:pPr>
            <w:r>
              <w:rPr/>
              <w:t> </w:t>
            </w:r>
          </w:p>
        </w:tc>
      </w:tr>
      <w:tr>
        <w:trPr/>
        <w:tc>
          <w:tcPr>
            <w:tcW w:w="6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listing fee</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6419"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6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641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6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641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r>
              <w:rPr/>
              <w:t>*</w:t>
            </w:r>
          </w:p>
        </w:tc>
        <w:tc>
          <w:tcPr>
            <w:tcW w:w="62" w:type="dxa"/>
            <w:tcBorders/>
            <w:vAlign w:val="bottom"/>
          </w:tcPr>
          <w:p>
            <w:pPr>
              <w:pStyle w:val="TableContents"/>
              <w:bidi w:val="0"/>
              <w:spacing w:before="0" w:after="283"/>
              <w:jc w:val="left"/>
              <w:rPr/>
            </w:pPr>
            <w:r>
              <w:rPr/>
              <w:t> </w:t>
            </w:r>
          </w:p>
        </w:tc>
      </w:tr>
      <w:tr>
        <w:trPr/>
        <w:tc>
          <w:tcPr>
            <w:tcW w:w="641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6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641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704"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be provided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Section 145 of the DGCL authorizes a corporations board of directors to grant, and authorizes a court to award, indemnity to officers, directors, and other corporate agents. </w:t>
      </w:r>
    </w:p>
    <w:p>
      <w:pPr>
        <w:pStyle w:val="TextBody"/>
        <w:bidi w:val="0"/>
        <w:spacing w:before="240" w:after="0"/>
        <w:jc w:val="both"/>
        <w:rPr>
          <w:rFonts w:ascii="Times New Roman" w:hAnsi="Times New Roman"/>
          <w:sz w:val="20"/>
        </w:rPr>
      </w:pPr>
      <w:r>
        <w:rPr>
          <w:rFonts w:ascii="Times New Roman" w:hAnsi="Times New Roman"/>
          <w:sz w:val="20"/>
        </w:rPr>
        <w:t xml:space="preserve">We plan to adopt an amended and restated certificate of incorporation in connection with this offering, which will become effective immediately prior to the completion of this offering, and which will contain provisions that limit the liability of our directors and officers for monetary damages to the fullest extent permitted by Delaware law. Consequently, our directors and officers will not be personally liable to us or our stockholders for monetary damages for any breach of fiduciary duties as directors and officers,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our directors, unlawful payments of dividends or unlawful stock repurchases, or redemptions as provided in Section 174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they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our officers, any derivative action by or in the right of the corporation.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and officers of corporations, then the personal liability of our directors and officers will be further limited to the greatest extent permitted by the DGCL.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plan to adopt our second amended and restated bylaws in connection with this offering, which will become effective immediately prior to the completion of this offering and which will provide that we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second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second amended and restated bylaws will also provide that we must advance expenses incurred by or on behalf of a director or officer in advance of the final disposition of any action or proceeding, subject to very limited exceptions. </w:t>
      </w:r>
    </w:p>
    <w:p>
      <w:pPr>
        <w:pStyle w:val="TextBody"/>
        <w:bidi w:val="0"/>
        <w:spacing w:before="240" w:after="0"/>
        <w:jc w:val="both"/>
        <w:rPr>
          <w:rFonts w:ascii="Times New Roman" w:hAnsi="Times New Roman"/>
          <w:sz w:val="20"/>
        </w:rPr>
      </w:pPr>
      <w:r>
        <w:rPr>
          <w:rFonts w:ascii="Times New Roman" w:hAnsi="Times New Roman"/>
          <w:sz w:val="20"/>
        </w:rPr>
        <w:t xml:space="preserve">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that are expected to be included in our amended and restated certificate of incorporation, our second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We have or will obtain, prior to the completion of this offering,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240" w:after="0"/>
        <w:jc w:val="both"/>
        <w:rPr>
          <w:rFonts w:ascii="Times New Roman" w:hAnsi="Times New Roman"/>
          <w:sz w:val="20"/>
        </w:rPr>
      </w:pPr>
      <w:r>
        <w:rPr>
          <w:rFonts w:ascii="Times New Roman" w:hAnsi="Times New Roman"/>
          <w:sz w:val="20"/>
        </w:rPr>
        <w:t xml:space="preserve">The underwriting agreement to be filed as Exhibit 1.1 to this registration statement provides for indemnification by the underwriters of the Registrant and its officers and directors for certain liabilities arising under the Securities Act and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Since January 1, 2021, we made sales of the following unregistered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Issuances </w:t>
      </w:r>
    </w:p>
    <w:p>
      <w:pPr>
        <w:pStyle w:val="TextBody"/>
        <w:bidi w:val="0"/>
        <w:spacing w:before="120" w:after="0"/>
        <w:jc w:val="both"/>
        <w:rPr>
          <w:rFonts w:ascii="Times New Roman" w:hAnsi="Times New Roman"/>
          <w:sz w:val="20"/>
        </w:rPr>
      </w:pPr>
      <w:r>
        <w:rPr>
          <w:rFonts w:ascii="Times New Roman" w:hAnsi="Times New Roman"/>
          <w:sz w:val="20"/>
        </w:rPr>
        <w:t xml:space="preserve">From August 2021 through September 2021, we sold an aggregate of 7,809,814 shares of Series C Preferred Stock to accredited investors at a purchase price of $6.7236 per share, for an aggregate purchase price of approximately $52.5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From May 2022 through September 2022, we sold an aggregate of 8,288,121 shares of Series D Preferred Stock to accredited investors at a purchase price of $20.339 per share, for an aggregate purchase price of approximately $168.6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and RSU Issuances </w:t>
      </w:r>
    </w:p>
    <w:p>
      <w:pPr>
        <w:pStyle w:val="TextBody"/>
        <w:bidi w:val="0"/>
        <w:spacing w:before="120" w:after="0"/>
        <w:jc w:val="both"/>
        <w:rPr>
          <w:rFonts w:ascii="Times New Roman" w:hAnsi="Times New Roman"/>
          <w:sz w:val="20"/>
        </w:rPr>
      </w:pPr>
      <w:r>
        <w:rPr>
          <w:rFonts w:ascii="Times New Roman" w:hAnsi="Times New Roman"/>
          <w:sz w:val="20"/>
        </w:rPr>
        <w:t xml:space="preserve">Since January 1, 2021, we granted certain employees, consultants, and directors options to purchase an aggregate of 13,499,407 shares of our common stock under our 2018 Plan, at exercise prices ranging from $0.02 to $1.76 per share. </w:t>
      </w:r>
    </w:p>
    <w:p>
      <w:pPr>
        <w:pStyle w:val="TextBody"/>
        <w:bidi w:val="0"/>
        <w:spacing w:before="240" w:after="0"/>
        <w:jc w:val="both"/>
        <w:rPr>
          <w:rFonts w:ascii="Times New Roman" w:hAnsi="Times New Roman"/>
          <w:sz w:val="20"/>
        </w:rPr>
      </w:pPr>
      <w:r>
        <w:rPr>
          <w:rFonts w:ascii="Times New Roman" w:hAnsi="Times New Roman"/>
          <w:sz w:val="20"/>
        </w:rPr>
        <w:t xml:space="preserve">Since January 1, 2021, we issued an aggregate of 6,726,708 shares of our common stock to certain employees, consultants, and directors upon the exercise of options granted under our 2018 Plan, at exercise prices ranging from $0.22 to $1.76 per share, for an aggregate exercise price of $5.3 million. </w:t>
      </w:r>
    </w:p>
    <w:p>
      <w:pPr>
        <w:pStyle w:val="TextBody"/>
        <w:bidi w:val="0"/>
        <w:spacing w:before="240" w:after="0"/>
        <w:jc w:val="both"/>
        <w:rPr>
          <w:rFonts w:ascii="Times New Roman" w:hAnsi="Times New Roman"/>
          <w:sz w:val="20"/>
        </w:rPr>
      </w:pPr>
      <w:r>
        <w:rPr>
          <w:rFonts w:ascii="Times New Roman" w:hAnsi="Times New Roman"/>
          <w:sz w:val="20"/>
        </w:rPr>
        <w:t xml:space="preserve">Since January 1, 2021, we granted to our employees, consultants, and other service providers restricted stock units representing an aggregate of 16,028,518 shares of common stock under our 2018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both"/>
        <w:rPr>
          <w:rFonts w:ascii="Times New Roman" w:hAnsi="Times New Roman"/>
          <w:sz w:val="20"/>
        </w:rPr>
      </w:pPr>
      <w:r>
        <w:rPr>
          <w:rFonts w:ascii="Times New Roman" w:hAnsi="Times New Roman"/>
          <w:sz w:val="20"/>
        </w:rPr>
        <w:t xml:space="preserve">In April 2021, in connection with a legacy loan agreement that expired in January 2022, we issued to Silicon Valley Bank a warrant to purchase up to an aggregate of 126,185 shares of our common stock at an exercise price of $0.30 per share. </w:t>
      </w:r>
    </w:p>
    <w:p>
      <w:pPr>
        <w:pStyle w:val="TextBody"/>
        <w:bidi w:val="0"/>
        <w:spacing w:before="240" w:after="0"/>
        <w:jc w:val="both"/>
        <w:rPr>
          <w:rFonts w:ascii="Times New Roman" w:hAnsi="Times New Roman"/>
          <w:sz w:val="20"/>
        </w:rPr>
      </w:pPr>
      <w:r>
        <w:rPr>
          <w:rFonts w:ascii="Times New Roman" w:hAnsi="Times New Roman"/>
          <w:sz w:val="20"/>
        </w:rPr>
        <w:t xml:space="preserve">In October 2022, we issued to Amazon.com NV Investment Holdings, LLC a warrant to purchase up to an aggregate of 1,484,230 shares of our common stock at an exercise price of $20.34 per share. In October 2023, we amended the Customer Warrant and issued an additional warrant to purchase additional 831,945 shares of common stock at an exercise price of $20.34 per share. </w:t>
      </w:r>
    </w:p>
    <w:p>
      <w:pPr>
        <w:pStyle w:val="TextBody"/>
        <w:bidi w:val="0"/>
        <w:spacing w:before="240" w:after="0"/>
        <w:jc w:val="both"/>
        <w:rPr>
          <w:rFonts w:ascii="Times New Roman" w:hAnsi="Times New Roman"/>
          <w:sz w:val="20"/>
        </w:rPr>
      </w:pPr>
      <w:r>
        <w:rPr>
          <w:rFonts w:ascii="Times New Roman" w:hAnsi="Times New Roman"/>
          <w:sz w:val="20"/>
        </w:rPr>
        <w:t xml:space="preserve">These transactions were deemed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Astera.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646"/>
        <w:gridCol w:w="8359"/>
      </w:tblGrid>
      <w:tr>
        <w:trPr/>
        <w:tc>
          <w:tcPr>
            <w:tcW w:w="1200" w:type="dxa"/>
            <w:tcBorders/>
            <w:vAlign w:val="center"/>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8359" w:type="dxa"/>
            <w:tcBorders/>
            <w:vAlign w:val="center"/>
          </w:tcPr>
          <w:p>
            <w:pPr>
              <w:pStyle w:val="TableContents"/>
              <w:bidi w:val="0"/>
              <w:spacing w:before="0" w:after="283"/>
              <w:jc w:val="left"/>
              <w:rPr>
                <w:sz w:val="4"/>
                <w:szCs w:val="4"/>
              </w:rPr>
            </w:pPr>
            <w:r>
              <w:rPr>
                <w:sz w:val="4"/>
                <w:szCs w:val="4"/>
              </w:rPr>
            </w:r>
          </w:p>
        </w:tc>
      </w:tr>
      <w:tr>
        <w:trPr/>
        <w:tc>
          <w:tcPr>
            <w:tcW w:w="1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Number</w:t>
            </w:r>
          </w:p>
        </w:tc>
        <w:tc>
          <w:tcPr>
            <w:tcW w:w="646" w:type="dxa"/>
            <w:tcBorders/>
            <w:vAlign w:val="bottom"/>
          </w:tcPr>
          <w:p>
            <w:pPr>
              <w:pStyle w:val="TableContents"/>
              <w:bidi w:val="0"/>
              <w:spacing w:before="0" w:after="283"/>
              <w:jc w:val="left"/>
              <w:rPr/>
            </w:pPr>
            <w:r>
              <w:rPr/>
              <w:t>  </w:t>
            </w:r>
          </w:p>
        </w:tc>
        <w:tc>
          <w:tcPr>
            <w:tcW w:w="83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Exhibit Title</w:t>
            </w:r>
          </w:p>
        </w:tc>
      </w:tr>
      <w:tr>
        <w:trPr/>
        <w:tc>
          <w:tcPr>
            <w:tcW w:w="1200" w:type="dxa"/>
            <w:tcBorders/>
          </w:tcPr>
          <w:p>
            <w:pPr>
              <w:pStyle w:val="TableContents"/>
              <w:bidi w:val="0"/>
              <w:spacing w:before="0" w:after="283"/>
              <w:jc w:val="left"/>
              <w:rPr/>
            </w:pPr>
            <w:r>
              <w:rPr/>
              <w:t>1.1*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Form of Underwriting Agreement.</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3.1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31.htm">
              <w:r>
                <w:rPr>
                  <w:rStyle w:val="InternetLink"/>
                  <w:rFonts w:ascii="Times New Roman" w:hAnsi="Times New Roman"/>
                  <w:sz w:val="20"/>
                </w:rPr>
                <w:t xml:space="preserve">Amended and Restated Certificate of Incorporation of the Registrant, as amended, as currently in effect.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3.2</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32.htm">
              <w:r>
                <w:rPr>
                  <w:rStyle w:val="InternetLink"/>
                  <w:rFonts w:ascii="Times New Roman" w:hAnsi="Times New Roman"/>
                  <w:sz w:val="20"/>
                </w:rPr>
                <w:t xml:space="preserve">Form of Amended and Restated Certificate of Incorporation of the Registrant, to be in effect immediately prior to the completion of this offering.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3.3</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33.htm">
              <w:r>
                <w:rPr>
                  <w:rStyle w:val="InternetLink"/>
                  <w:rFonts w:ascii="Times New Roman" w:hAnsi="Times New Roman"/>
                  <w:sz w:val="20"/>
                </w:rPr>
                <w:t xml:space="preserve">Amended and Restated Bylaws of the Registrant, as currently in effect.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3.4</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34.htm">
              <w:r>
                <w:rPr>
                  <w:rStyle w:val="InternetLink"/>
                  <w:rFonts w:ascii="Times New Roman" w:hAnsi="Times New Roman"/>
                  <w:sz w:val="20"/>
                </w:rPr>
                <w:t xml:space="preserve">Form of Second Amended and Restated Bylaws of the Registrant, to be in effect immediately prior to the completion of this offering.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4.1*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Form of common stock certificate of the Registrant.</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4.2</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42.htm">
              <w:r>
                <w:rPr>
                  <w:rStyle w:val="InternetLink"/>
                  <w:rFonts w:ascii="Times New Roman" w:hAnsi="Times New Roman"/>
                  <w:sz w:val="20"/>
                </w:rPr>
                <w:t xml:space="preserve">Amended and Restated Investors Rights Agreement by and among the Registrant and the investors thereto.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5.1*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Opinion of Goodwin Procter LLP.</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1.htm">
              <w:r>
                <w:rPr>
                  <w:rStyle w:val="InternetLink"/>
                  <w:rFonts w:ascii="Times New Roman" w:hAnsi="Times New Roman"/>
                  <w:sz w:val="20"/>
                </w:rPr>
                <w:t xml:space="preserve">Form of Indemnification Agreement between the Registrant and each of its directors and executive officers.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10.2#*</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Amended and Restated 2018 Equity Incentive Plan, as amended, and forms of award agreements thereunder.</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10.3#*</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2024 Stock Option and Incentive Plan, and forms of award agreements thereunder.</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10.4#*</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2024 Employee Stock Purchase Plan.</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10.5#</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5.htm">
              <w:r>
                <w:rPr>
                  <w:rStyle w:val="InternetLink"/>
                  <w:rFonts w:ascii="Times New Roman" w:hAnsi="Times New Roman"/>
                  <w:sz w:val="20"/>
                </w:rPr>
                <w:t>Change of Control Severance Policy.</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10.6#</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20"/>
              <w:jc w:val="both"/>
              <w:rPr/>
            </w:pPr>
            <w:hyperlink w:anchor="d285484dex106.htm">
              <w:r>
                <w:rPr>
                  <w:rStyle w:val="InternetLink"/>
                  <w:rFonts w:ascii="Times New Roman" w:hAnsi="Times New Roman"/>
                  <w:sz w:val="20"/>
                </w:rPr>
                <w:t xml:space="preserve">Form of Non-Employee Director Compensation Policy.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10.7#</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7.htm">
              <w:r>
                <w:rPr>
                  <w:rStyle w:val="InternetLink"/>
                  <w:rFonts w:ascii="Times New Roman" w:hAnsi="Times New Roman"/>
                  <w:sz w:val="20"/>
                </w:rPr>
                <w:t xml:space="preserve">Senior Executive Cash Incentive Bonus Plan.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10.8#</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8.htm">
              <w:r>
                <w:rPr>
                  <w:rStyle w:val="InternetLink"/>
                  <w:rFonts w:ascii="Times New Roman" w:hAnsi="Times New Roman"/>
                  <w:sz w:val="20"/>
                </w:rPr>
                <w:t xml:space="preserve">Offer Letter by and between the Registrant and Jitendra Mohan, dated March 13, 2018.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10.9#</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9.htm">
              <w:r>
                <w:rPr>
                  <w:rStyle w:val="InternetLink"/>
                  <w:rFonts w:ascii="Times New Roman" w:hAnsi="Times New Roman"/>
                  <w:sz w:val="20"/>
                </w:rPr>
                <w:t>Offer Letter by and between the Registrant and Sanjay Gajendra, dated March 13, 2018.</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10.10#</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10.htm">
              <w:r>
                <w:rPr>
                  <w:rStyle w:val="InternetLink"/>
                  <w:rFonts w:ascii="Times New Roman" w:hAnsi="Times New Roman"/>
                  <w:sz w:val="20"/>
                </w:rPr>
                <w:t xml:space="preserve">Executive Employment Agreement by and between the Registrant and Michael Tate, dated July 21, 2020.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11.htm">
              <w:r>
                <w:rPr>
                  <w:rStyle w:val="InternetLink"/>
                  <w:rFonts w:ascii="Times New Roman" w:hAnsi="Times New Roman"/>
                  <w:sz w:val="20"/>
                </w:rPr>
                <w:t xml:space="preserve">Offer Letter by and between the Registrant and Philip Mazzara, dated February  7, 2022.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10.12</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12.htm">
              <w:r>
                <w:rPr>
                  <w:rStyle w:val="InternetLink"/>
                  <w:rFonts w:ascii="Times New Roman" w:hAnsi="Times New Roman"/>
                  <w:sz w:val="20"/>
                </w:rPr>
                <w:t xml:space="preserve">Warrant Agreement with Silicon Valley Bank, dated April 30, 2021.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10.13</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1013.htm">
              <w:r>
                <w:rPr>
                  <w:rStyle w:val="InternetLink"/>
                  <w:rFonts w:ascii="Times New Roman" w:hAnsi="Times New Roman"/>
                  <w:sz w:val="20"/>
                </w:rPr>
                <w:t>Warrant Agreement with Amazon.com NV Investment Holdings LLC, dated October  14, 2022, as amended by Amendment No. 1 to Warrant Agreement, signed October 31, 2023.</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10.14*</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Lease Agreement by and between the Registrant and Marriott Plaza Associates LP, dated February 21, 2020, as amended by the First Amendment to Lease Agreement, dated June 15, 2021, as further amended by the Second Amendment to Lease Agreement, dated March 20, 2022, the Third Amendment to Lease Agreement, dated January 30, 2023, the Fourth Amendment to Lease Agreement, dated December 16, 2023, and the Fifth Amendment to Lease Agreement, dated February 1, 2024.</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21.1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211.htm">
              <w:r>
                <w:rPr>
                  <w:rStyle w:val="InternetLink"/>
                  <w:rFonts w:ascii="Times New Roman" w:hAnsi="Times New Roman"/>
                  <w:sz w:val="20"/>
                </w:rPr>
                <w:t xml:space="preserve">Subsidiaries of the Registrant.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23.1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231.htm">
              <w:r>
                <w:rPr>
                  <w:rStyle w:val="InternetLink"/>
                  <w:rFonts w:ascii="Times New Roman" w:hAnsi="Times New Roman"/>
                  <w:sz w:val="20"/>
                </w:rPr>
                <w:t xml:space="preserve">Consent of PricewaterhouseCoopers LLP, independent registered public accounting firm. </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23.2*</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Consent of Goodwin Procter LLP (included in Exhibit 5.1).</w:t>
            </w:r>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24.1</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sig">
              <w:r>
                <w:rPr>
                  <w:rStyle w:val="InternetLink"/>
                  <w:rFonts w:ascii="Times New Roman" w:hAnsi="Times New Roman"/>
                  <w:sz w:val="20"/>
                </w:rPr>
                <w:t>Powers of Attorney (included on signature page to this Registration Statement on Form S-1).</w:t>
              </w:r>
            </w:hyperlink>
          </w:p>
        </w:tc>
      </w:tr>
      <w:tr>
        <w:trPr>
          <w:trHeight w:val="9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107</w:t>
            </w:r>
          </w:p>
        </w:tc>
        <w:tc>
          <w:tcPr>
            <w:tcW w:w="646" w:type="dxa"/>
            <w:tcBorders/>
            <w:vAlign w:val="bottom"/>
          </w:tcPr>
          <w:p>
            <w:pPr>
              <w:pStyle w:val="TableContents"/>
              <w:bidi w:val="0"/>
              <w:spacing w:before="0" w:after="283"/>
              <w:jc w:val="left"/>
              <w:rPr/>
            </w:pPr>
            <w:r>
              <w:rPr/>
              <w:t>  </w:t>
            </w:r>
          </w:p>
        </w:tc>
        <w:tc>
          <w:tcPr>
            <w:tcW w:w="8359" w:type="dxa"/>
            <w:tcBorders/>
            <w:vAlign w:val="bottom"/>
          </w:tcPr>
          <w:p>
            <w:pPr>
              <w:pStyle w:val="TableContents"/>
              <w:bidi w:val="0"/>
              <w:spacing w:before="0" w:after="0"/>
              <w:jc w:val="both"/>
              <w:rPr/>
            </w:pPr>
            <w:hyperlink w:anchor="d285484dexfilingfees.htm">
              <w:r>
                <w:rPr>
                  <w:rStyle w:val="InternetLink"/>
                  <w:rFonts w:ascii="Times New Roman" w:hAnsi="Times New Roman"/>
                  <w:sz w:val="20"/>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Indicates management contract or compensatory plan, contract or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confidential information contained in this exhibit has been omitted because it is both (i) not material and (ii) is the type that the Registrant treats as private or confidential.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Statement Schedules.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All schedules are omitted because the required information is either not present, not present in material amounts or is presented within the consolidated financial statements included in the prospectus that is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both"/>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both"/>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sig"/>
      <w:bookmarkEnd w:id="32"/>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Santa Clara, California, on February 20,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ASTERA LABS, INC.</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Jitendra Mohan</w:t>
            </w:r>
          </w:p>
        </w:tc>
      </w:tr>
      <w:tr>
        <w:trPr/>
        <w:tc>
          <w:tcPr>
            <w:tcW w:w="62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Jitendra Mohan</w:t>
            </w:r>
          </w:p>
        </w:tc>
      </w:tr>
      <w:tr>
        <w:trPr/>
        <w:tc>
          <w:tcPr>
            <w:tcW w:w="62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both"/>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Jitendra Mohan, Michael Tate, and Philip Mazzara, and each of them, as his or her true and lawful attorneys-in-fact and agents, with full power of substitution and resubstitution, for him or her and in his or her name, place and stead, in any and all capacities, to sign the Registration Statement on Form S-1 of Astera Labs,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as amended, this registration statement on Form S-1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4"/>
        <w:gridCol w:w="120"/>
        <w:gridCol w:w="3926"/>
        <w:gridCol w:w="199"/>
        <w:gridCol w:w="1876"/>
      </w:tblGrid>
      <w:tr>
        <w:trPr/>
        <w:tc>
          <w:tcPr>
            <w:tcW w:w="40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408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9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8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Jitendra Mohan</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Co-Founder, Chief Executive Officer, and Director</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Jitendra Mohan</w:t>
            </w:r>
          </w:p>
        </w:tc>
        <w:tc>
          <w:tcPr>
            <w:tcW w:w="120" w:type="dxa"/>
            <w:vMerge w:val="continue"/>
            <w:tcBorders/>
            <w:vAlign w:val="bottom"/>
          </w:tcPr>
          <w:p>
            <w:pPr>
              <w:pStyle w:val="Normal"/>
              <w:bidi w:val="0"/>
              <w:jc w:val="left"/>
              <w:rPr/>
            </w:pPr>
            <w:r>
              <w:rPr/>
            </w:r>
          </w:p>
        </w:tc>
        <w:tc>
          <w:tcPr>
            <w:tcW w:w="3926" w:type="dxa"/>
            <w:vMerge w:val="continue"/>
            <w:tcBorders/>
            <w:vAlign w:val="bottom"/>
          </w:tcPr>
          <w:p>
            <w:pPr>
              <w:pStyle w:val="Normal"/>
              <w:bidi w:val="0"/>
              <w:jc w:val="left"/>
              <w:rPr/>
            </w:pPr>
            <w:r>
              <w:rPr/>
            </w:r>
          </w:p>
        </w:tc>
        <w:tc>
          <w:tcPr>
            <w:tcW w:w="199" w:type="dxa"/>
            <w:vMerge w:val="continue"/>
            <w:tcBorders/>
            <w:vAlign w:val="center"/>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Tate</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Michael Tate</w:t>
            </w:r>
          </w:p>
        </w:tc>
        <w:tc>
          <w:tcPr>
            <w:tcW w:w="120" w:type="dxa"/>
            <w:vMerge w:val="continue"/>
            <w:tcBorders/>
            <w:vAlign w:val="bottom"/>
          </w:tcPr>
          <w:p>
            <w:pPr>
              <w:pStyle w:val="Normal"/>
              <w:bidi w:val="0"/>
              <w:jc w:val="left"/>
              <w:rPr/>
            </w:pPr>
            <w:r>
              <w:rPr/>
            </w:r>
          </w:p>
        </w:tc>
        <w:tc>
          <w:tcPr>
            <w:tcW w:w="3926" w:type="dxa"/>
            <w:vMerge w:val="continue"/>
            <w:tcBorders/>
            <w:vAlign w:val="bottom"/>
          </w:tcPr>
          <w:p>
            <w:pPr>
              <w:pStyle w:val="Normal"/>
              <w:bidi w:val="0"/>
              <w:jc w:val="left"/>
              <w:rPr/>
            </w:pPr>
            <w:r>
              <w:rPr/>
            </w:r>
          </w:p>
        </w:tc>
        <w:tc>
          <w:tcPr>
            <w:tcW w:w="199" w:type="dxa"/>
            <w:vMerge w:val="continue"/>
            <w:tcBorders/>
            <w:vAlign w:val="center"/>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Manuel Alba</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vAlign w:val="center"/>
          </w:tcPr>
          <w:p>
            <w:pPr>
              <w:pStyle w:val="TableContents"/>
              <w:bidi w:val="0"/>
              <w:spacing w:before="0" w:after="283"/>
              <w:jc w:val="center"/>
              <w:rPr/>
            </w:pPr>
            <w:r>
              <w:rPr/>
              <w:t>Chair of the Board</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Manuel Alba</w:t>
            </w:r>
          </w:p>
        </w:tc>
        <w:tc>
          <w:tcPr>
            <w:tcW w:w="120" w:type="dxa"/>
            <w:vMerge w:val="continue"/>
            <w:tcBorders/>
            <w:vAlign w:val="bottom"/>
          </w:tcPr>
          <w:p>
            <w:pPr>
              <w:pStyle w:val="Normal"/>
              <w:bidi w:val="0"/>
              <w:jc w:val="left"/>
              <w:rPr/>
            </w:pPr>
            <w:r>
              <w:rPr/>
            </w:r>
          </w:p>
        </w:tc>
        <w:tc>
          <w:tcPr>
            <w:tcW w:w="3926" w:type="dxa"/>
            <w:vMerge w:val="continue"/>
            <w:tcBorders/>
            <w:vAlign w:val="center"/>
          </w:tcPr>
          <w:p>
            <w:pPr>
              <w:pStyle w:val="Normal"/>
              <w:bidi w:val="0"/>
              <w:jc w:val="left"/>
              <w:rPr/>
            </w:pPr>
            <w:r>
              <w:rPr/>
            </w:r>
          </w:p>
        </w:tc>
        <w:tc>
          <w:tcPr>
            <w:tcW w:w="199" w:type="dxa"/>
            <w:vMerge w:val="continue"/>
            <w:tcBorders/>
            <w:vAlign w:val="bottom"/>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Stefan Dyckerhoff</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vAlign w:val="center"/>
          </w:tcPr>
          <w:p>
            <w:pPr>
              <w:pStyle w:val="TableContents"/>
              <w:bidi w:val="0"/>
              <w:spacing w:before="0" w:after="283"/>
              <w:jc w:val="center"/>
              <w:rPr/>
            </w:pPr>
            <w:r>
              <w:rPr/>
              <w:t>Director</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tcPr>
          <w:p>
            <w:pPr>
              <w:pStyle w:val="TableContents"/>
              <w:bidi w:val="0"/>
              <w:spacing w:before="0" w:after="283"/>
              <w:jc w:val="center"/>
              <w:rPr/>
            </w:pPr>
            <w:r>
              <w:rPr/>
              <w:t>Stefan Dyckerhoff</w:t>
            </w:r>
          </w:p>
        </w:tc>
        <w:tc>
          <w:tcPr>
            <w:tcW w:w="120" w:type="dxa"/>
            <w:vMerge w:val="continue"/>
            <w:tcBorders/>
            <w:vAlign w:val="bottom"/>
          </w:tcPr>
          <w:p>
            <w:pPr>
              <w:pStyle w:val="Normal"/>
              <w:bidi w:val="0"/>
              <w:jc w:val="left"/>
              <w:rPr/>
            </w:pPr>
            <w:r>
              <w:rPr/>
            </w:r>
          </w:p>
        </w:tc>
        <w:tc>
          <w:tcPr>
            <w:tcW w:w="3926" w:type="dxa"/>
            <w:vMerge w:val="continue"/>
            <w:tcBorders/>
            <w:vAlign w:val="center"/>
          </w:tcPr>
          <w:p>
            <w:pPr>
              <w:pStyle w:val="Normal"/>
              <w:bidi w:val="0"/>
              <w:jc w:val="left"/>
              <w:rPr/>
            </w:pPr>
            <w:r>
              <w:rPr/>
            </w:r>
          </w:p>
        </w:tc>
        <w:tc>
          <w:tcPr>
            <w:tcW w:w="199" w:type="dxa"/>
            <w:vMerge w:val="continue"/>
            <w:tcBorders/>
            <w:vAlign w:val="bottom"/>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Sanjay Gajendra</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tcPr>
          <w:p>
            <w:pPr>
              <w:pStyle w:val="TableContents"/>
              <w:bidi w:val="0"/>
              <w:spacing w:before="0" w:after="283"/>
              <w:jc w:val="center"/>
              <w:rPr/>
            </w:pPr>
            <w:r>
              <w:rPr/>
              <w:t>Co-Founder, President, Chief Operating Officer, and Director</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Sanjay Gajendra</w:t>
            </w:r>
          </w:p>
        </w:tc>
        <w:tc>
          <w:tcPr>
            <w:tcW w:w="120" w:type="dxa"/>
            <w:vMerge w:val="continue"/>
            <w:tcBorders/>
            <w:vAlign w:val="bottom"/>
          </w:tcPr>
          <w:p>
            <w:pPr>
              <w:pStyle w:val="Normal"/>
              <w:bidi w:val="0"/>
              <w:jc w:val="left"/>
              <w:rPr/>
            </w:pPr>
            <w:r>
              <w:rPr/>
            </w:r>
          </w:p>
        </w:tc>
        <w:tc>
          <w:tcPr>
            <w:tcW w:w="3926" w:type="dxa"/>
            <w:vMerge w:val="continue"/>
            <w:tcBorders/>
            <w:vAlign w:val="bottom"/>
          </w:tcPr>
          <w:p>
            <w:pPr>
              <w:pStyle w:val="Normal"/>
              <w:bidi w:val="0"/>
              <w:jc w:val="left"/>
              <w:rPr/>
            </w:pPr>
            <w:r>
              <w:rPr/>
            </w:r>
          </w:p>
        </w:tc>
        <w:tc>
          <w:tcPr>
            <w:tcW w:w="199" w:type="dxa"/>
            <w:vMerge w:val="continue"/>
            <w:tcBorders/>
            <w:vAlign w:val="center"/>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Michael Hurlston</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vAlign w:val="center"/>
          </w:tcPr>
          <w:p>
            <w:pPr>
              <w:pStyle w:val="TableContents"/>
              <w:bidi w:val="0"/>
              <w:spacing w:before="0" w:after="283"/>
              <w:jc w:val="center"/>
              <w:rPr/>
            </w:pPr>
            <w:r>
              <w:rPr/>
              <w:t>Director</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Michael Hurlston</w:t>
            </w:r>
          </w:p>
        </w:tc>
        <w:tc>
          <w:tcPr>
            <w:tcW w:w="120" w:type="dxa"/>
            <w:vMerge w:val="continue"/>
            <w:tcBorders/>
            <w:vAlign w:val="bottom"/>
          </w:tcPr>
          <w:p>
            <w:pPr>
              <w:pStyle w:val="Normal"/>
              <w:bidi w:val="0"/>
              <w:jc w:val="left"/>
              <w:rPr/>
            </w:pPr>
            <w:r>
              <w:rPr/>
            </w:r>
          </w:p>
        </w:tc>
        <w:tc>
          <w:tcPr>
            <w:tcW w:w="3926" w:type="dxa"/>
            <w:vMerge w:val="continue"/>
            <w:tcBorders/>
            <w:vAlign w:val="center"/>
          </w:tcPr>
          <w:p>
            <w:pPr>
              <w:pStyle w:val="Normal"/>
              <w:bidi w:val="0"/>
              <w:jc w:val="left"/>
              <w:rPr/>
            </w:pPr>
            <w:r>
              <w:rPr/>
            </w:r>
          </w:p>
        </w:tc>
        <w:tc>
          <w:tcPr>
            <w:tcW w:w="199" w:type="dxa"/>
            <w:vMerge w:val="continue"/>
            <w:tcBorders/>
            <w:vAlign w:val="bottom"/>
          </w:tcPr>
          <w:p>
            <w:pPr>
              <w:pStyle w:val="Normal"/>
              <w:bidi w:val="0"/>
              <w:jc w:val="left"/>
              <w:rPr/>
            </w:pPr>
            <w:r>
              <w:rPr/>
            </w:r>
          </w:p>
        </w:tc>
        <w:tc>
          <w:tcPr>
            <w:tcW w:w="1876" w:type="dxa"/>
            <w:vMerge w:val="continue"/>
            <w:tcBorders/>
            <w:vAlign w:val="center"/>
          </w:tcPr>
          <w:p>
            <w:pPr>
              <w:pStyle w:val="Normal"/>
              <w:bidi w:val="0"/>
              <w:jc w:val="left"/>
              <w:rPr/>
            </w:pPr>
            <w:r>
              <w:rPr/>
            </w:r>
          </w:p>
        </w:tc>
      </w:tr>
      <w:tr>
        <w:trPr>
          <w:trHeight w:val="120" w:hRule="atLeast"/>
        </w:trPr>
        <w:tc>
          <w:tcPr>
            <w:tcW w:w="4084"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2075" w:type="dxa"/>
            <w:gridSpan w:val="2"/>
            <w:tcBorders/>
            <w:vAlign w:val="center"/>
          </w:tcPr>
          <w:p>
            <w:pPr>
              <w:pStyle w:val="TableContents"/>
              <w:bidi w:val="0"/>
              <w:spacing w:before="0" w:after="283"/>
              <w:jc w:val="left"/>
              <w:rPr>
                <w:sz w:val="4"/>
                <w:szCs w:val="4"/>
              </w:rPr>
            </w:pPr>
            <w:r>
              <w:rPr>
                <w:sz w:val="4"/>
                <w:szCs w:val="4"/>
              </w:rPr>
            </w:r>
          </w:p>
        </w:tc>
      </w:tr>
      <w:tr>
        <w:trPr/>
        <w:tc>
          <w:tcPr>
            <w:tcW w:w="4084"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Jack Lazar</w:t>
            </w:r>
          </w:p>
        </w:tc>
        <w:tc>
          <w:tcPr>
            <w:tcW w:w="120" w:type="dxa"/>
            <w:vMerge w:val="restart"/>
            <w:tcBorders/>
            <w:vAlign w:val="bottom"/>
          </w:tcPr>
          <w:p>
            <w:pPr>
              <w:pStyle w:val="TableContents"/>
              <w:bidi w:val="0"/>
              <w:spacing w:before="0" w:after="283"/>
              <w:jc w:val="left"/>
              <w:rPr/>
            </w:pPr>
            <w:r>
              <w:rPr/>
              <w:t>  </w:t>
            </w:r>
          </w:p>
        </w:tc>
        <w:tc>
          <w:tcPr>
            <w:tcW w:w="3926" w:type="dxa"/>
            <w:vMerge w:val="restart"/>
            <w:tcBorders/>
            <w:vAlign w:val="center"/>
          </w:tcPr>
          <w:p>
            <w:pPr>
              <w:pStyle w:val="TableContents"/>
              <w:bidi w:val="0"/>
              <w:spacing w:before="0" w:after="283"/>
              <w:jc w:val="center"/>
              <w:rPr/>
            </w:pPr>
            <w:r>
              <w:rPr/>
              <w:t>Director</w:t>
            </w:r>
          </w:p>
        </w:tc>
        <w:tc>
          <w:tcPr>
            <w:tcW w:w="199" w:type="dxa"/>
            <w:vMerge w:val="restart"/>
            <w:tcBorders/>
            <w:vAlign w:val="bottom"/>
          </w:tcPr>
          <w:p>
            <w:pPr>
              <w:pStyle w:val="TableContents"/>
              <w:bidi w:val="0"/>
              <w:spacing w:before="0" w:after="283"/>
              <w:jc w:val="left"/>
              <w:rPr/>
            </w:pPr>
            <w:r>
              <w:rPr/>
              <w:t> </w:t>
            </w:r>
          </w:p>
        </w:tc>
        <w:tc>
          <w:tcPr>
            <w:tcW w:w="1876" w:type="dxa"/>
            <w:vMerge w:val="restart"/>
            <w:tcBorders/>
            <w:vAlign w:val="center"/>
          </w:tcPr>
          <w:p>
            <w:pPr>
              <w:pStyle w:val="TableContents"/>
              <w:bidi w:val="0"/>
              <w:spacing w:before="0" w:after="283"/>
              <w:jc w:val="right"/>
              <w:rPr/>
            </w:pPr>
            <w:r>
              <w:rPr/>
              <w:t>February 20, 2024</w:t>
            </w:r>
          </w:p>
        </w:tc>
      </w:tr>
      <w:tr>
        <w:trPr/>
        <w:tc>
          <w:tcPr>
            <w:tcW w:w="4084" w:type="dxa"/>
            <w:tcBorders/>
            <w:vAlign w:val="bottom"/>
          </w:tcPr>
          <w:p>
            <w:pPr>
              <w:pStyle w:val="TableContents"/>
              <w:bidi w:val="0"/>
              <w:spacing w:before="0" w:after="283"/>
              <w:jc w:val="center"/>
              <w:rPr/>
            </w:pPr>
            <w:r>
              <w:rPr/>
              <w:t>Jack Lazar</w:t>
            </w:r>
          </w:p>
        </w:tc>
        <w:tc>
          <w:tcPr>
            <w:tcW w:w="120" w:type="dxa"/>
            <w:vMerge w:val="continue"/>
            <w:tcBorders/>
            <w:vAlign w:val="bottom"/>
          </w:tcPr>
          <w:p>
            <w:pPr>
              <w:pStyle w:val="Normal"/>
              <w:bidi w:val="0"/>
              <w:jc w:val="left"/>
              <w:rPr/>
            </w:pPr>
            <w:r>
              <w:rPr/>
            </w:r>
          </w:p>
        </w:tc>
        <w:tc>
          <w:tcPr>
            <w:tcW w:w="3926" w:type="dxa"/>
            <w:vMerge w:val="continue"/>
            <w:tcBorders/>
            <w:vAlign w:val="center"/>
          </w:tcPr>
          <w:p>
            <w:pPr>
              <w:pStyle w:val="Normal"/>
              <w:bidi w:val="0"/>
              <w:jc w:val="left"/>
              <w:rPr/>
            </w:pPr>
            <w:r>
              <w:rPr/>
            </w:r>
          </w:p>
        </w:tc>
        <w:tc>
          <w:tcPr>
            <w:tcW w:w="199" w:type="dxa"/>
            <w:vMerge w:val="continue"/>
            <w:tcBorders/>
            <w:vAlign w:val="bottom"/>
          </w:tcPr>
          <w:p>
            <w:pPr>
              <w:pStyle w:val="Normal"/>
              <w:bidi w:val="0"/>
              <w:jc w:val="left"/>
              <w:rPr/>
            </w:pPr>
            <w:r>
              <w:rPr/>
            </w:r>
          </w:p>
        </w:tc>
        <w:tc>
          <w:tcPr>
            <w:tcW w:w="1876"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3" w:name="d285484dex31.htm"/>
      <w:bookmarkStart w:id="34" w:name="ksd285484dex31"/>
      <w:bookmarkEnd w:id="33"/>
      <w:bookmarkEnd w:id="34"/>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(Pursuant to Sections 242 and 245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Astera Labs, Inc., a corporation organized and existing under and by virtue of the provisions of the General Corporation Law of the State of Delaware (the </w:t>
      </w:r>
      <w:r>
        <w:rPr>
          <w:rFonts w:ascii="Times New Roman" w:hAnsi="Times New Roman"/>
          <w:b/>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Astera Labs, Inc. and that this corporation was originally incorporated pursuant to the General Corporation Law on October 26, 2017 under the name Astera Labs, Inc.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Astera Labs,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this corporation in the State of Delaware is 1209 Orange Street, in the City of Wilmington, County of Newcastle, State of Delaware, 19801. The name of the corporations registered agent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Authorization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corporation is authorized to issue two classes of stock to be designated, respectively, common stock and preferred stock. The total number of shares that the corporation is authorized to issue is 254,505,932. The total number of shares of common stock authorized to be issued is 163,375,000, par value $0.0001 per share (the </w:t>
      </w:r>
      <w:r>
        <w:rPr>
          <w:rFonts w:ascii="Times New Roman" w:hAnsi="Times New Roman"/>
          <w:b/>
          <w:sz w:val="20"/>
          <w:u w:val="single"/>
        </w:rPr>
        <w:t>Common Stock</w:t>
      </w:r>
      <w:r>
        <w:rPr>
          <w:rFonts w:ascii="Times New Roman" w:hAnsi="Times New Roman"/>
          <w:sz w:val="20"/>
        </w:rPr>
        <w:t>). The total number of shares of preferred stock authorized to be issued is 91,130,932, par value $0.0001 per share (the </w:t>
      </w:r>
      <w:r>
        <w:rPr>
          <w:rFonts w:ascii="Times New Roman" w:hAnsi="Times New Roman"/>
          <w:b/>
          <w:sz w:val="20"/>
          <w:u w:val="single"/>
        </w:rPr>
        <w:t>Preferred Stock</w:t>
      </w:r>
      <w:r>
        <w:rPr>
          <w:rFonts w:ascii="Times New Roman" w:hAnsi="Times New Roman"/>
          <w:sz w:val="20"/>
        </w:rPr>
        <w:t>), 41,666,665 of which shall be designated Series A Preferred Stock (the </w:t>
      </w:r>
      <w:r>
        <w:rPr>
          <w:rFonts w:ascii="Times New Roman" w:hAnsi="Times New Roman"/>
          <w:b/>
          <w:sz w:val="20"/>
          <w:u w:val="single"/>
        </w:rPr>
        <w:t>Series A Preferred Stock</w:t>
      </w:r>
      <w:r>
        <w:rPr>
          <w:rFonts w:ascii="Times New Roman" w:hAnsi="Times New Roman"/>
          <w:sz w:val="20"/>
        </w:rPr>
        <w:t>), 9,722 of which shall be designated as Series A-1 Preferred Stock (the </w:t>
      </w:r>
      <w:r>
        <w:rPr>
          <w:rFonts w:ascii="Times New Roman" w:hAnsi="Times New Roman"/>
          <w:b/>
          <w:sz w:val="20"/>
          <w:u w:val="single"/>
        </w:rPr>
        <w:t>Series A-1 Preferred Stock</w:t>
      </w:r>
      <w:r>
        <w:rPr>
          <w:rFonts w:ascii="Times New Roman" w:hAnsi="Times New Roman"/>
          <w:sz w:val="20"/>
        </w:rPr>
        <w:t>), 33,126,088 of which shall be designated Series B Preferred Stock (the </w:t>
      </w:r>
      <w:r>
        <w:rPr>
          <w:rFonts w:ascii="Times New Roman" w:hAnsi="Times New Roman"/>
          <w:b/>
          <w:sz w:val="20"/>
          <w:u w:val="single"/>
        </w:rPr>
        <w:t>Series B Preferred Stock</w:t>
      </w:r>
      <w:r>
        <w:rPr>
          <w:rFonts w:ascii="Times New Roman" w:hAnsi="Times New Roman"/>
          <w:sz w:val="20"/>
        </w:rPr>
        <w:t>), 150,868 of which shall be designated Series B-1 Preferred Stock (the </w:t>
      </w:r>
      <w:r>
        <w:rPr>
          <w:rFonts w:ascii="Times New Roman" w:hAnsi="Times New Roman"/>
          <w:b/>
          <w:sz w:val="20"/>
          <w:u w:val="single"/>
        </w:rPr>
        <w:t>Series B-1 Preferred Stock</w:t>
      </w:r>
      <w:r>
        <w:rPr>
          <w:rFonts w:ascii="Times New Roman" w:hAnsi="Times New Roman"/>
          <w:sz w:val="20"/>
        </w:rPr>
        <w:t>) 7,809,824 of which shall be designated Series C Preferred Stock (the </w:t>
      </w:r>
      <w:r>
        <w:rPr>
          <w:rFonts w:ascii="Times New Roman" w:hAnsi="Times New Roman"/>
          <w:b/>
          <w:sz w:val="20"/>
          <w:u w:val="single"/>
        </w:rPr>
        <w:t>Series C Preferred Stock</w:t>
      </w:r>
      <w:r>
        <w:rPr>
          <w:rFonts w:ascii="Times New Roman" w:hAnsi="Times New Roman"/>
          <w:sz w:val="20"/>
        </w:rPr>
        <w:t>) and 8,367,765 of which shall be designated Series D Preferred Stock (the </w:t>
      </w:r>
      <w:r>
        <w:rPr>
          <w:rFonts w:ascii="Times New Roman" w:hAnsi="Times New Roman"/>
          <w:b/>
          <w:sz w:val="20"/>
          <w:u w:val="single"/>
        </w:rPr>
        <w:t>Series D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Effective upon filing this Amended and Restated Certificate of Incorporation (the </w:t>
      </w:r>
      <w:r>
        <w:rPr>
          <w:rFonts w:ascii="Times New Roman" w:hAnsi="Times New Roman"/>
          <w:b/>
          <w:sz w:val="20"/>
          <w:u w:val="single"/>
        </w:rPr>
        <w:t>Effective Time</w:t>
      </w:r>
      <w:r>
        <w:rPr>
          <w:rFonts w:ascii="Times New Roman" w:hAnsi="Times New Roman"/>
          <w:sz w:val="20"/>
        </w:rPr>
        <w:t>) pursuant to Section 242 of the DGCL, each two (2) shares of the Corporations Common Stock and each two (2) shares of the Corporations Preferred Stock (including without limitation all shares of Series A Preferred Stock, Series A-1 Preferred Stock, Series B Preferred Stock, Series B-1 Preferred Stock, Series C Preferred Stock and Series D Preferred Stock) issued and outstanding immediately prior to the Effective Time shall automatically without further action on the part of the Corporation or any holder of such Common Stock or Preferred Stock, be reclassified, combined, converted and changed into one (1) fully paid and nonassessable share of Common Stock or Preferred Stock, as applicable, subject to the treatment of fractional share interests as described below (the </w:t>
      </w:r>
      <w:r>
        <w:rPr>
          <w:rFonts w:ascii="Times New Roman" w:hAnsi="Times New Roman"/>
          <w:b/>
          <w:sz w:val="20"/>
          <w:u w:val="single"/>
        </w:rPr>
        <w:t>Reverse Stock Split</w:t>
      </w:r>
      <w:r>
        <w:rPr>
          <w:rFonts w:ascii="Times New Roman" w:hAnsi="Times New Roman"/>
          <w:sz w:val="20"/>
        </w:rPr>
        <w:t xml:space="preserve">). Notwithstanding the immediately preceding sentence, no fractional shares shall be issued in connection with the Reverse Stock Split. Each outstanding stock certificate of the Corporation, which represented one or more shares of Common Stock or Preferred Stock shall immediately after the Reverse Stock Split represent that number of shares of Common Stock or Preferred Stock, respectively, equal to the quotient obtained by dividing (x) the number of shares of stock represented on such certificates by (y) two (2), rounded down to the nearest whole number. The par value of each share of the Companys capital stock outstanding after giving effect to the Reverse Split shall remain at $0.0001 per share. All share numbers, dollar amounts and other numbers in this Amended and Restated Certificate of Incorporation have been adjusted to reflect the Reverse Stock Split.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Rights, Preferences and Restrictions of Preferred Stock</w:t>
      </w:r>
      <w:r>
        <w:rPr>
          <w:rFonts w:ascii="Times New Roman" w:hAnsi="Times New Roman"/>
          <w:sz w:val="20"/>
        </w:rPr>
        <w:t xml:space="preserve">. The rights, preferences, privileges and restrictions granted to and imposed on the Preferred Stock are as set forth below in this Article IV(B).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Dividend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holders of shares of each series of Preferred Stock shall be entitled to receive dividends, on a pari passu basis among such series of Preferred Stock, out of any assets legally available therefor, prior and in preference to any declaration or payment of any dividend (payable other than in Common Stock or other securities and rights convertible into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entitling the holder thereof to receive, directly or indirectly, additional shares of Common Stock of this corporation) on the Common Stock an amount per share equal to two (2) times the Series A Original Issue Price, two (2) times the Series A-1 Original Issue Price, one (1) times the Series B Original Issue Price, one (1) times the Series B-1 Original Issue Price, one (1) times the Series C Original Issue Price or one (1) times the Series D Original Issue Price, each as defined below and as the case may be (and each in accordance with the class or series of Preferred Stock held by such holder), for each share of such series of Preferred Stock payable when, as, and if declared by the Board of Directors of this corporation (the </w:t>
      </w:r>
      <w:r>
        <w:rPr>
          <w:rFonts w:ascii="Times New Roman" w:hAnsi="Times New Roman"/>
          <w:b/>
          <w:sz w:val="20"/>
          <w:u w:val="single"/>
        </w:rPr>
        <w:t>Board of Directors</w:t>
      </w:r>
      <w:r>
        <w:rPr>
          <w:rFonts w:ascii="Times New Roman" w:hAnsi="Times New Roman"/>
          <w:sz w:val="20"/>
        </w:rPr>
        <w:t xml:space="preserve">), pro rata according to the amount payable to such holders (provided, however, that this corporation shall not declare or pay any dividends unless unanimously approved by the Board of Directors). Such dividends shall not be cumulative.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after dividends specified above in Subsection 1(a) above have been paid, the Board of Directors unanimously declares additional dividends out of funds legally available therefor, then such additional dividends shall be declared among the holders of the then outstanding Common Stock until the holders of the then outstanding Common Stock receive an amount per share equal to the amount per share paid to the holders of shares of Series A Preferred Stock and Series A-1 Preferred Stock under Subsection 1(a) above.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after dividends specified in Subsection 1(b) above have been paid, the Board of Directors unanimously declares additional dividends out of funds legally available therefor, then such additional dividends shall be declared among the holders of the then outstanding Common Stock and Preferred Stock pro rata according to the number of shares of Common Stock then held by such holders (where each holder of shares of Preferred Stock is to be treated for this purpose as holding, in lieu of such shares of Preferred Stock, the greatest whole number of shares of Common Stock then issuable upon conversion in full of such shares of Preferred Stock pursuant to Subsection 4(a) below).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the event of any Liquidation Event, either voluntary or involuntary, the holders of each series of Preferred Stock shall be entitled to receive, on a pari passu basis, prior and in preference to any distribution of the proceeds of such Liquidation Event (the </w:t>
      </w:r>
      <w:r>
        <w:rPr>
          <w:rFonts w:ascii="Times New Roman" w:hAnsi="Times New Roman"/>
          <w:b/>
          <w:sz w:val="20"/>
          <w:u w:val="single"/>
        </w:rPr>
        <w:t>Proceeds</w:t>
      </w:r>
      <w:r>
        <w:rPr>
          <w:rFonts w:ascii="Times New Roman" w:hAnsi="Times New Roman"/>
          <w:sz w:val="20"/>
        </w:rPr>
        <w:t xml:space="preserve">) to the holders of Common Stock by reason of their ownership thereof, an amount per share equal to, (i) in the case of the Series A Preferred Stock, the greater of (A) two (2) times the Series A Original Issue Price, plus any declared but unpaid dividends (if any) on such share, and (B) such amount per share as would have been payable had all shares of Series A Preferred Stock been converted into Common Stock pursuant to Section 4 immediately prior to such Liquidation Event, (ii) in the case of Series A-1 Preferred Stock, the greater of two (2) times the Series A-1 Original Issue Price, plus any declared but unpaid dividends (if any) on such share, and (B) such amount per share as would have been payable had all shares of Series A-1 Preferred Stock been converted into Common Stock pursuant to Section 4 immediately prior to such Liquidation Event, (iii) in the case of the Series B Preferred Stock, the greater of (A) the Series B Original Issue Price, plus any declared but unpaid dividends (if any) on such share, and (B) such amount per share as would have been payable had all shares of Series B Preferred Stock been converted into Common Stock pursuant to Section 4 immediately prior to such Liquidation Event, (iv) in the case of the Series B-1 Preferred Stock, the greater of (A) the Series B-1 Original Issue Price,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declared but unpaid dividends (if any) on such share, and (B) such amount per share as would have been payable had all shares of Series B-1 Preferred Stock been converted into Common Stock pursuant to Section 4 immediately prior to such Liquidation Event, (v) in the case of the Series C Preferred Stock, the greater of (A) the Series C Original Issue Price, plus any declared but unpaid dividends (if any) on such share, and (B) such amount per share as would have been payable had all shares of Series C Preferred Stock been converted into Common Stock pursuant to Section 4 immediately prior to such Liquidation Event, and (vi) in the case of the Series D Preferred Stock, the greater of (A) the Series D Original Issue Price, plus any declared but unpaid dividends (if any) on such share, and (B) such amount per share as would have been payable had all shares of Series D Preferred Stock been converted into Common Stock pursuant to Section 4 immediately prior to such Liquidation Event.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2(a). For purposes of this Amended and Restated Certificate of Incorporation, (u) </w:t>
      </w:r>
      <w:r>
        <w:rPr>
          <w:rFonts w:ascii="Times New Roman" w:hAnsi="Times New Roman"/>
          <w:b/>
          <w:sz w:val="20"/>
          <w:u w:val="single"/>
        </w:rPr>
        <w:t>Series A Original Issue Price</w:t>
      </w:r>
      <w:r>
        <w:rPr>
          <w:rFonts w:ascii="Times New Roman" w:hAnsi="Times New Roman"/>
          <w:sz w:val="20"/>
        </w:rPr>
        <w:t> shall mean $0.051 per share for each share of the Series A Preferred Stock (as adjusted for any stock splits, stock dividends, combinations, subdivisions, recapitalizations or the like after the date of filing of this Amended and Restated Certificate of Incorporation (such date, the </w:t>
      </w:r>
      <w:r>
        <w:rPr>
          <w:rFonts w:ascii="Times New Roman" w:hAnsi="Times New Roman"/>
          <w:b/>
          <w:sz w:val="20"/>
          <w:u w:val="single"/>
        </w:rPr>
        <w:t>Effective Date</w:t>
      </w:r>
      <w:r>
        <w:rPr>
          <w:rFonts w:ascii="Times New Roman" w:hAnsi="Times New Roman"/>
          <w:sz w:val="20"/>
        </w:rPr>
        <w:t>)), (v) </w:t>
      </w:r>
      <w:r>
        <w:rPr>
          <w:rFonts w:ascii="Times New Roman" w:hAnsi="Times New Roman"/>
          <w:b/>
          <w:sz w:val="20"/>
          <w:u w:val="single"/>
        </w:rPr>
        <w:t>Series A-1 Original Issue Price</w:t>
      </w:r>
      <w:r>
        <w:rPr>
          <w:rFonts w:ascii="Times New Roman" w:hAnsi="Times New Roman"/>
          <w:sz w:val="20"/>
        </w:rPr>
        <w:t>) shall mean shall mean $0.051 per share for each share of the Series A-1 Preferred Stock (as adjusted for any stock splits, stock dividends, combinations, subdivisions, recapitalizations or the like after the Effective Date), (w) </w:t>
      </w:r>
      <w:r>
        <w:rPr>
          <w:rFonts w:ascii="Times New Roman" w:hAnsi="Times New Roman"/>
          <w:b/>
          <w:sz w:val="20"/>
          <w:u w:val="single"/>
        </w:rPr>
        <w:t>Series B Original Issue Price</w:t>
      </w:r>
      <w:r>
        <w:rPr>
          <w:rFonts w:ascii="Times New Roman" w:hAnsi="Times New Roman"/>
          <w:sz w:val="20"/>
        </w:rPr>
        <w:t> shall mean $0.1962 per share for each share of the Series B Preferred Stock (as adjusted for any stock splits, stock dividends, combinations, subdivisions, recapitalizations or the like after the Effective Date), (x) </w:t>
      </w:r>
      <w:r>
        <w:rPr>
          <w:rFonts w:ascii="Times New Roman" w:hAnsi="Times New Roman"/>
          <w:b/>
          <w:sz w:val="20"/>
          <w:u w:val="single"/>
        </w:rPr>
        <w:t>Series B-1 Original Issue Price</w:t>
      </w:r>
      <w:r>
        <w:rPr>
          <w:rFonts w:ascii="Times New Roman" w:hAnsi="Times New Roman"/>
          <w:sz w:val="20"/>
        </w:rPr>
        <w:t> shall mean $0.1962 per share for each share of the Series B-1 Preferred Stock (as adjusted for any stock splits, stock dividends, combinations, subdivisions, recapitalizations or the like after the Effective Date), (y) </w:t>
      </w:r>
      <w:r>
        <w:rPr>
          <w:rFonts w:ascii="Times New Roman" w:hAnsi="Times New Roman"/>
          <w:b/>
          <w:sz w:val="20"/>
          <w:u w:val="single"/>
        </w:rPr>
        <w:t>Series C Original Issue Price</w:t>
      </w:r>
      <w:r>
        <w:rPr>
          <w:rFonts w:ascii="Times New Roman" w:hAnsi="Times New Roman"/>
          <w:sz w:val="20"/>
        </w:rPr>
        <w:t> shall mean $1.6809 per share (as adjusted for any stock splits, stock dividends, combinations, subdivisions, recapitalizations or the like after the Effective Date), and (z) </w:t>
      </w:r>
      <w:r>
        <w:rPr>
          <w:rFonts w:ascii="Times New Roman" w:hAnsi="Times New Roman"/>
          <w:b/>
          <w:sz w:val="20"/>
          <w:u w:val="single"/>
        </w:rPr>
        <w:t>Series D Original Issue Price</w:t>
      </w:r>
      <w:r>
        <w:rPr>
          <w:rFonts w:ascii="Times New Roman" w:hAnsi="Times New Roman"/>
          <w:sz w:val="20"/>
        </w:rPr>
        <w:t> shall mean $5.0848 per share (as adjusted for any stock splits, stock dividends, combinations, subdivisions, recapitalizations or the like after the Effective Date). The </w:t>
      </w:r>
      <w:r>
        <w:rPr>
          <w:rFonts w:ascii="Times New Roman" w:hAnsi="Times New Roman"/>
          <w:b/>
          <w:sz w:val="20"/>
          <w:u w:val="single"/>
        </w:rPr>
        <w:t>applicable Original Issue Price</w:t>
      </w:r>
      <w:r>
        <w:rPr>
          <w:rFonts w:ascii="Times New Roman" w:hAnsi="Times New Roman"/>
          <w:sz w:val="20"/>
        </w:rPr>
        <w:t xml:space="preserve"> shall mean the Series A Original Issue Price, Series A-1 Original Issue Price, Series B Original Issue Price, Series B-1 Original Issue Price, Series C Original Issue Price, or Series D Original Issue Price, as applicable.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the completion of the distribution required by Subsection 2(a) above, any remaining Proceeds available for distribution to stockholders, if any, shall be distributed among the holders of Common Stock pro rata based on the number of shares of Common Stock held by each.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For purposes of this Section 2, a </w:t>
      </w:r>
      <w:r>
        <w:rPr>
          <w:rFonts w:ascii="Times New Roman" w:hAnsi="Times New Roman"/>
          <w:b/>
          <w:sz w:val="20"/>
          <w:u w:val="single"/>
        </w:rPr>
        <w:t>Liquidation Event</w:t>
      </w:r>
      <w:r>
        <w:rPr>
          <w:rFonts w:ascii="Times New Roman" w:hAnsi="Times New Roman"/>
          <w:sz w:val="20"/>
        </w:rPr>
        <w:t xml:space="preserve"> shall mean: (A) the closing of the sale, transfer, exclusive license or other disposition of all or substantially all of this corporations assets, (B) the consummation of the merger or consolidation of this corporation with or into another entity (except a merger or consolidation in which the holders of capital stock of this corporation immediately prior to such merger or consolidation continue to hold at least 50% of the voting power of the capital stock of this corporation or the surviving or acquiring entity), (C) the closing of the transfer by the corporation (whether by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consolidation or otherwise), in one transaction or a series of related transactions, to a person or group of affiliated persons (other than an underwriter of this corporations securities), of this corporations securities if, after such closing, such person or group of affiliated persons would hold more than 50% of the outstanding voting stock of this corporation, or the surviving or acquiring entity (other than any transaction or series of transactions principally for </w:t>
      </w:r>
      <w:r>
        <w:rPr>
          <w:rFonts w:ascii="Times New Roman" w:hAnsi="Times New Roman"/>
          <w:i/>
          <w:sz w:val="20"/>
        </w:rPr>
        <w:t>bona fide</w:t>
      </w:r>
      <w:r>
        <w:rPr>
          <w:rFonts w:ascii="Times New Roman" w:hAnsi="Times New Roman"/>
          <w:sz w:val="20"/>
        </w:rPr>
        <w:t xml:space="preserve"> equity financing purposes in which cash is received by this corporation or any successor, or indebtedness of this corporation is cancelled or converted or a combination thereof), (D) a transfer or a grant of an unlimited exclusive right to all or substantially all of this corporations intellectual property (other than the grant of limited exclusive licenses in the ordinary course of business) or (E) a voluntary or involuntary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provided, further, that a transaction shall not constitute a Liquidation Event if the holders of at least sixty percent (60%) of the then outstanding shares of Preferred Stock (voting together as a single class on an as-converted basis) (the </w:t>
      </w:r>
      <w:r>
        <w:rPr>
          <w:rFonts w:ascii="Times New Roman" w:hAnsi="Times New Roman"/>
          <w:b/>
          <w:sz w:val="20"/>
          <w:u w:val="single"/>
        </w:rPr>
        <w:t>Preferred Majority</w:t>
      </w:r>
      <w:r>
        <w:rPr>
          <w:rFonts w:ascii="Times New Roman" w:hAnsi="Times New Roman"/>
          <w:sz w:val="20"/>
        </w:rPr>
        <w:t xml:space="preserve">) waive the treatment of such transaction as a Liquidation Event in writing;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the affirmative vote or written consent of the holders of a majority of the Series C Preferred Stock (the </w:t>
      </w:r>
      <w:r>
        <w:rPr>
          <w:rFonts w:ascii="Times New Roman" w:hAnsi="Times New Roman"/>
          <w:b/>
          <w:sz w:val="20"/>
          <w:u w:val="single"/>
        </w:rPr>
        <w:t>Series C Majority</w:t>
      </w:r>
      <w:r>
        <w:rPr>
          <w:rFonts w:ascii="Times New Roman" w:hAnsi="Times New Roman"/>
          <w:sz w:val="20"/>
        </w:rPr>
        <w:t>) shall also be required to waive the treatment of a particular event as a Liquidation Event with respect to the Series C Preferred Stock and (ii) the affirmative vote or written consent of the holders of a majority of the Series D Preferred Stock (the </w:t>
      </w:r>
      <w:r>
        <w:rPr>
          <w:rFonts w:ascii="Times New Roman" w:hAnsi="Times New Roman"/>
          <w:b/>
          <w:sz w:val="20"/>
          <w:u w:val="single"/>
        </w:rPr>
        <w:t>Series D Majority</w:t>
      </w:r>
      <w:r>
        <w:rPr>
          <w:rFonts w:ascii="Times New Roman" w:hAnsi="Times New Roman"/>
          <w:sz w:val="20"/>
        </w:rPr>
        <w:t xml:space="preserve">) shall also be required to waive the treatment of a particular event as a Liquidation Event with respect to the Series D Preferred Stock.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any Liquidation Event, if Proceeds received by this corporation or its stockholders is other than cash, its value will be deemed its fair market value as determined by the Board of Directors in good faith, subject to the provisions of this Subsection 2(d) below. Any securities shall be valued as follows: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not subject to investment letter or other similar restrictions on free marketability covered by (B) below: </w:t>
      </w:r>
    </w:p>
    <w:p>
      <w:pPr>
        <w:pStyle w:val="TextBody"/>
        <w:bidi w:val="0"/>
        <w:spacing w:before="240" w:after="0"/>
        <w:jc w:val="left"/>
        <w:rPr>
          <w:rFonts w:ascii="Times New Roman" w:hAnsi="Times New Roman"/>
          <w:sz w:val="20"/>
        </w:rPr>
      </w:pPr>
      <w:r>
        <w:rPr>
          <w:rFonts w:ascii="Times New Roman" w:hAnsi="Times New Roman"/>
          <w:sz w:val="20"/>
        </w:rPr>
        <w:t xml:space="preserve">(1) If traded on a securities exchange, the value shall be deemed to be the average of the closing prices of the securities on such exchange over the twenty (20) trading-day period ending three (3) trading days prior to the closing of the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(2) If actively traded over-the-counter, the value shall be deemed to be the average of the closing bid or sale prices (whichever is applicable) over the twenty (20) trading-day period ending three (3) trading days prior to the closing of the Liquidation Event; and </w:t>
      </w:r>
    </w:p>
    <w:p>
      <w:pPr>
        <w:pStyle w:val="TextBody"/>
        <w:bidi w:val="0"/>
        <w:spacing w:before="240" w:after="0"/>
        <w:jc w:val="left"/>
        <w:rPr>
          <w:rFonts w:ascii="Times New Roman" w:hAnsi="Times New Roman"/>
          <w:sz w:val="20"/>
        </w:rPr>
      </w:pPr>
      <w:r>
        <w:rPr>
          <w:rFonts w:ascii="Times New Roman" w:hAnsi="Times New Roman"/>
          <w:sz w:val="20"/>
        </w:rPr>
        <w:t xml:space="preserve">(3) If there is no active public market, the value shall be the fair market value thereof, as mutually determined by this corporation and the Preferred Majority or external appraiser unanimously elected by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determined by the Board of Directors in good faith.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foregoing methods for valuing non-cash consideration to be distributed in connection with a Liquidation Event shall, with the appropriate approval of the definitive agreements governing such Liquidation Event by the stockholders under the General Corporation Law and Section 6(a) of this Article IV(B), be superseded by the determination of such value set forth in the definitive agreements governing such Liquidation Event.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In the event the requirements of this Section 2 are not complied with, this corporation shall forthwith either: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cause the closing of such Liquidation Event to be postponed until such time as the requirements of this Section 2 have been complied with; or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cancel such transaction, in which event the rights, preferences and privileges of the holders of the Preferred Stock shall revert to and be the same as such rights, preferences and privileges existing immediately prior to the date of the first notice referred to in Subsection 2(f) below.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Redemption</w:t>
      </w:r>
      <w:r>
        <w:rPr>
          <w:rFonts w:ascii="Times New Roman" w:hAnsi="Times New Roman"/>
          <w:sz w:val="20"/>
        </w:rPr>
        <w:t xml:space="preserve">. The Preferred Stock is not redeemable at the option of the holder thereof.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Conversion</w:t>
      </w:r>
      <w:r>
        <w:rPr>
          <w:rFonts w:ascii="Times New Roman" w:hAnsi="Times New Roman"/>
          <w:sz w:val="20"/>
        </w:rPr>
        <w:t>. The holders of the Preferred Stock shall have conversion rights as follows (the </w:t>
      </w:r>
      <w:r>
        <w:rPr>
          <w:rFonts w:ascii="Times New Roman" w:hAnsi="Times New Roman"/>
          <w:b/>
          <w:sz w:val="20"/>
          <w:u w:val="single"/>
        </w:rPr>
        <w:t>Conversion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Right to Convert</w:t>
      </w:r>
      <w:r>
        <w:rPr>
          <w:rFonts w:ascii="Times New Roman" w:hAnsi="Times New Roman"/>
          <w:sz w:val="20"/>
        </w:rPr>
        <w:t>. Subject to Subsection 4(c) below, each share of Preferred Stock shall be convertible, at the option of the holder thereof, at any time after the date of issuance of such share, at the office of this corporation or any transfer agent for such stock, into such number of fully paid and nonassessable shares of Common Stock as is determined by dividing the applicable Original Issue Price for the relevant series of Preferred Stock by the applicable Conversion Price for such series of Preferred Stock determined as hereafter provided, in effect on the date the certificate is provided for conversion. (The number of shares of Common Stock into which each share of Preferred Stock of a series may be converted is hereinafter referred to as the </w:t>
      </w:r>
      <w:r>
        <w:rPr>
          <w:rFonts w:ascii="Times New Roman" w:hAnsi="Times New Roman"/>
          <w:b/>
          <w:sz w:val="20"/>
          <w:u w:val="single"/>
        </w:rPr>
        <w:t>Conversion Rate</w:t>
      </w:r>
      <w:r>
        <w:rPr>
          <w:rFonts w:ascii="Times New Roman" w:hAnsi="Times New Roman"/>
          <w:sz w:val="20"/>
        </w:rPr>
        <w:t> for such series.) The </w:t>
      </w:r>
      <w:r>
        <w:rPr>
          <w:rFonts w:ascii="Times New Roman" w:hAnsi="Times New Roman"/>
          <w:b/>
          <w:sz w:val="20"/>
          <w:u w:val="single"/>
        </w:rPr>
        <w:t>Conversion Price</w:t>
      </w:r>
      <w:r>
        <w:rPr>
          <w:rFonts w:ascii="Times New Roman" w:hAnsi="Times New Roman"/>
          <w:sz w:val="20"/>
        </w:rPr>
        <w:t xml:space="preserve"> for a share of Preferred Stock initially shall be equal to the applicable Original Issue Price for the relevant series of Preferred Stock and thereafter shall be subject to adjustment as set forth in Subsection 4(d)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Automatic Conversion</w:t>
      </w:r>
      <w:r>
        <w:rPr>
          <w:rFonts w:ascii="Times New Roman" w:hAnsi="Times New Roman"/>
          <w:sz w:val="20"/>
        </w:rPr>
        <w:t xml:space="preserve">. Each share of Preferred Stock shall automatically be converted into shares of Common Stock at the Conversion Rate at the time in effect for such series of Preferred Stock immediately upon the earlier of (i) the closing of this corporations sale of its Common Stock to the public at a price of at least $2.5424 per share (subject to appropriate adjustment in the event of any stock dividend, stock split, combination or other similar recapitalization with respect to the Common Stock) in a firm commitment underwritten public offering pursuant to a registration statement under the Securities Act of 1933, as amended, </w:t>
      </w:r>
      <w:r>
        <w:rPr>
          <w:rFonts w:ascii="Times New Roman" w:hAnsi="Times New Roman"/>
          <w:i/>
          <w:sz w:val="20"/>
        </w:rPr>
        <w:t xml:space="preserve">provided </w:t>
      </w:r>
      <w:r>
        <w:rPr>
          <w:rFonts w:ascii="Times New Roman" w:hAnsi="Times New Roman"/>
          <w:sz w:val="20"/>
        </w:rPr>
        <w:t>that the aggregate gross proceeds to this corporation are at least $40,000,000 and, after such offering, shares of the Companys Common Stock are listed on the Nasdaq or the New York Stock Exchange (a </w:t>
      </w:r>
      <w:r>
        <w:rPr>
          <w:rFonts w:ascii="Times New Roman" w:hAnsi="Times New Roman"/>
          <w:b/>
          <w:sz w:val="20"/>
          <w:u w:val="single"/>
        </w:rPr>
        <w:t>Qualified Public Offering</w:t>
      </w:r>
      <w:r>
        <w:rPr>
          <w:rFonts w:ascii="Times New Roman" w:hAnsi="Times New Roman"/>
          <w:sz w:val="20"/>
        </w:rPr>
        <w:t xml:space="preserve">) or (ii) the date, or the occurrence of an event, specified by vote or written consent or agreement of the holders of the Preferred Majority;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affirmative vote or written consent of the Series C Majority shall be required to convert the Series C Preferred Stock to Common Stock in connection with any transaction or series of transactions which would result in the holders of the Series C Preferred Stock receiving proceeds per share which are less than the Series C Original Issue Price;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further </w:t>
      </w:r>
      <w:r>
        <w:rPr>
          <w:rFonts w:ascii="Times New Roman" w:hAnsi="Times New Roman"/>
          <w:sz w:val="20"/>
        </w:rPr>
        <w:t xml:space="preserve">that the affirmative vote or written consent of the Series D Majority shall be required to convert the Series D Preferred Stock to Common Stock in connection with any transaction or series of transactions which would result in the holders of the Series D Preferred Stock receiving proceeds per share which are less than the Series D Original Issue Price.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Mechanics of Conversion</w:t>
      </w:r>
      <w:r>
        <w:rPr>
          <w:rFonts w:ascii="Times New Roman" w:hAnsi="Times New Roman"/>
          <w:sz w:val="20"/>
        </w:rPr>
        <w:t xml:space="preserve">. Before any holder of Preferred Stock shall be entitled to voluntarily convert the same into shares of Common Stock,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Common Stock are to be issued. This corporation shall, as soon as practicable thereafter, (i) issue and deliver at such office to such holder of Preferred Stock, or to the nominee or nominees of such holder, a certificate or certificates for the number of shares of Common Stock to which such holder shall be entitled as set forth above and a certificate for the number (if any) of the shares of Preferred Stock represented by the surrendered certificate that were not converted into Common Stock, (ii) pay in cash such amount as provided in Subsection 4(g) in lieu of any fraction of a share of Common Stock otherwise issuable upon such conversion and (iii) pay all declared but unpaid dividends on the shares of Preferred Stock converted. Such conversion shall be deemed to have been made immediately prior to the close of business on the date of such surrender of the shares of Preferred Stock to be converted (or an affidavit of lost certificate in lieu thereof in a form reasonably acceptable to this corporation), and the person or persons entitled to receive the shares of Common Stock issuable upon such conversion shall be treated for all purposes as the record holder or holders of such shares of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Common Stock upon conversion of the Preferred Stock shall not be deemed to have converted such Preferred Stock until immediately prior to the closing of such sale of securities. If the conversion is in connection with the automatic conversion provision of Subsection 4(b)(ii) above, such conversion shall be deemed to have been made on the conversion date described in the stockholder consent approving such conversion, and the persons entitled to receive shares of Common Stock issuable upon such conversion shall be treated for all purposes as the record holders of such shares of Common Stock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Conversion Price Adjustments of Preferred Stock for Certain Dilutive Issuances, Splits and Combinations</w:t>
      </w:r>
      <w:r>
        <w:rPr>
          <w:rFonts w:ascii="Times New Roman" w:hAnsi="Times New Roman"/>
          <w:sz w:val="20"/>
        </w:rPr>
        <w:t xml:space="preserve">. The applicable Conversion Price of a series of Preferred Stock shall be subject to adjustment from time to time as follows: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u w:val="single"/>
        </w:rPr>
        <w:t>Issuance of Additional Stock below Purchase Price</w:t>
      </w:r>
      <w:r>
        <w:rPr>
          <w:rFonts w:ascii="Times New Roman" w:hAnsi="Times New Roman"/>
          <w:sz w:val="20"/>
        </w:rPr>
        <w:t xml:space="preserve">. If this corporation should issue, at any time after the Effective Date any Additional Stock (as defined below) without consideration or for a consideration per share less than the applicable Conversion Price of a series of Preferred Stock in effect immediately prior to the issuance of such Additional Stock, then the applicable Conversion Price of the affected series of Preferred Stock shall automatically be reduced as set forth in this Subsection 4(d)(i), unless otherwise provided in this Subsection 4(d)(i).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Adjustment Formula</w:t>
      </w:r>
      <w:r>
        <w:rPr>
          <w:rFonts w:ascii="Times New Roman" w:hAnsi="Times New Roman"/>
          <w:sz w:val="20"/>
        </w:rPr>
        <w:t>. Whenever the Conversion Price is adjusted pursuant to this Subsection (4)(d)(i), the new Conversion Price shall be determined (on a broad based weighted average formula) by multiplying the Conversion Price then in effect by a fraction, (x) the numerator of which shall be the number of shares of Common Stock outstanding immediately prior to such issuance (the </w:t>
      </w:r>
      <w:r>
        <w:rPr>
          <w:rFonts w:ascii="Times New Roman" w:hAnsi="Times New Roman"/>
          <w:b/>
          <w:sz w:val="20"/>
          <w:u w:val="single"/>
        </w:rPr>
        <w:t>Outstanding Common</w:t>
      </w:r>
      <w:r>
        <w:rPr>
          <w:rFonts w:ascii="Times New Roman" w:hAnsi="Times New Roman"/>
          <w:sz w:val="20"/>
        </w:rPr>
        <w:t>) plus the number of shares of Common Stock that the aggregate consideration received by this corporation for such issuance would purchase at such Conversion Price; and (y) the denominator of which shall be the number of shares of Outstanding Common plus the number of shares of such Additional Stock so issued. For purposes of the foregoing calculation, the term </w:t>
      </w:r>
      <w:r>
        <w:rPr>
          <w:rFonts w:ascii="Times New Roman" w:hAnsi="Times New Roman"/>
          <w:b/>
          <w:sz w:val="20"/>
          <w:u w:val="single"/>
        </w:rPr>
        <w:t>Outstanding Common</w:t>
      </w:r>
      <w:r>
        <w:rPr>
          <w:rFonts w:ascii="Times New Roman" w:hAnsi="Times New Roman"/>
          <w:sz w:val="20"/>
        </w:rPr>
        <w:t xml:space="preserve"> shall include all outstanding shares of Common Stock and all shares of Common Stock issuable upon conversion and/or exercise of all outstanding Preferred Stock and Common Stock Equivalents.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Definition of Additional Stock</w:t>
      </w:r>
      <w:r>
        <w:rPr>
          <w:rFonts w:ascii="Times New Roman" w:hAnsi="Times New Roman"/>
          <w:sz w:val="20"/>
        </w:rPr>
        <w:t>. For purposes of this Subsection 4(d)(i), </w:t>
      </w:r>
      <w:r>
        <w:rPr>
          <w:rFonts w:ascii="Times New Roman" w:hAnsi="Times New Roman"/>
          <w:b/>
          <w:sz w:val="20"/>
          <w:u w:val="single"/>
        </w:rPr>
        <w:t>Additional Stock</w:t>
      </w:r>
      <w:r>
        <w:rPr>
          <w:rFonts w:ascii="Times New Roman" w:hAnsi="Times New Roman"/>
          <w:sz w:val="20"/>
        </w:rPr>
        <w:t> shall mean any shares of Common Stock issued (or deemed to have been issued pursuant to Subsection 4(d)(i)(D)) by this corporation after the Effective Date other than the following (known collectively, as the </w:t>
      </w:r>
      <w:r>
        <w:rPr>
          <w:rFonts w:ascii="Times New Roman" w:hAnsi="Times New Roman"/>
          <w:b/>
          <w:sz w:val="20"/>
          <w:u w:val="single"/>
        </w:rPr>
        <w:t>Excluded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issuance of shares of Common Stock to employees, officers, consultants or directors of this corporation or to other persons performing services for this corporation, directly or pursuant to a stock option plan or restricted stock plan or other service provider agreement, in each case approved by the Board of Directors (including the affirmative vote of at least one Series A Director (as such term is defined below) and the Series B Director (as such term is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of capital stock of this corporation as a result of stock splits, stock dividends or similar transactions as described in Subsections 4(d)(ii) or 4(f) hereof; </w:t>
      </w:r>
    </w:p>
    <w:p>
      <w:pPr>
        <w:pStyle w:val="TextBody"/>
        <w:bidi w:val="0"/>
        <w:spacing w:before="240" w:after="0"/>
        <w:jc w:val="left"/>
        <w:rPr>
          <w:rFonts w:ascii="Times New Roman" w:hAnsi="Times New Roman"/>
          <w:sz w:val="20"/>
        </w:rPr>
      </w:pPr>
      <w:r>
        <w:rPr>
          <w:rFonts w:ascii="Times New Roman" w:hAnsi="Times New Roman"/>
          <w:sz w:val="20"/>
        </w:rPr>
        <w:t xml:space="preserve">(3) issuances of Common Stock upon the conversion of the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(4)the issuance of securities of this corporation in connection with a bona fide business acquisition by this corporation, whether by merger, consolidation, sale of assets, sale or exchange of stock or otherwise, that is approved by the Board of Directors (including the affirmative vote of at least one Series A Director and the Series B Director); </w:t>
      </w:r>
    </w:p>
    <w:p>
      <w:pPr>
        <w:pStyle w:val="TextBody"/>
        <w:bidi w:val="0"/>
        <w:spacing w:before="240" w:after="0"/>
        <w:jc w:val="left"/>
        <w:rPr>
          <w:rFonts w:ascii="Times New Roman" w:hAnsi="Times New Roman"/>
          <w:sz w:val="20"/>
        </w:rPr>
      </w:pPr>
      <w:r>
        <w:rPr>
          <w:rFonts w:ascii="Times New Roman" w:hAnsi="Times New Roman"/>
          <w:sz w:val="20"/>
        </w:rPr>
        <w:t xml:space="preserve">(5) issuances of capital stock of this corporation in a Qualified Public Offering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(6) the issuance of capital stock of this corporation in connection with joint ventures, development projects, sponsored research, collaboration, technology license, development, OEM, marketing, or other similar agreements or strategic partnerships, each of which is approved by the Board of Directors (including the affirmative vote of at least one Series A Director and the Series B Director); </w:t>
      </w:r>
    </w:p>
    <w:p>
      <w:pPr>
        <w:pStyle w:val="TextBody"/>
        <w:bidi w:val="0"/>
        <w:spacing w:before="240" w:after="0"/>
        <w:jc w:val="left"/>
        <w:rPr>
          <w:rFonts w:ascii="Times New Roman" w:hAnsi="Times New Roman"/>
          <w:sz w:val="20"/>
        </w:rPr>
      </w:pPr>
      <w:r>
        <w:rPr>
          <w:rFonts w:ascii="Times New Roman" w:hAnsi="Times New Roman"/>
          <w:sz w:val="20"/>
        </w:rPr>
        <w:t xml:space="preserve">(7) issuances of capital stock of this corporation pursuant to options, convertible securities, warrants, notes, or other rights to acquire securities of this corporation, in each case, outstanding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(8) the issuance of the securities of this corporation to financial institutions in connection with commercial credit arrangements, equipment financings, commercial property lease transactions or similar transactions, each of which is approved by the Board of Directors (including the affirmative vote of at least one Series A Director and the Series B Director); </w:t>
      </w:r>
    </w:p>
    <w:p>
      <w:pPr>
        <w:pStyle w:val="TextBody"/>
        <w:bidi w:val="0"/>
        <w:spacing w:before="240" w:after="0"/>
        <w:jc w:val="left"/>
        <w:rPr>
          <w:rFonts w:ascii="Times New Roman" w:hAnsi="Times New Roman"/>
          <w:sz w:val="20"/>
        </w:rPr>
      </w:pPr>
      <w:r>
        <w:rPr>
          <w:rFonts w:ascii="Times New Roman" w:hAnsi="Times New Roman"/>
          <w:sz w:val="20"/>
        </w:rPr>
        <w:t xml:space="preserve">(9) any other issuance of capital stock of this corporation approved in writing by either the Board of Directors (including the affirmative vote of at least one Series A Director and the Series B Director) or the vote, written consent, or agreement of the Preferred Majority; provided, however, that (i) such issuance of capital stock of this corporation shall not be deemed Excluded Securities with respect to the Series C Preferred Stock and adjustments to its Conversion Price without the vote, written consent, or agreement of the Series C Majority and (ii) such issuance of capital stock of this corporation shall not be deemed Excluded Securities with respect to the Series D Preferred Stock and adjustments to its Conversion Price without the vote, written consent, or agreement of the Series D Majority; and </w:t>
      </w:r>
    </w:p>
    <w:p>
      <w:pPr>
        <w:pStyle w:val="TextBody"/>
        <w:bidi w:val="0"/>
        <w:spacing w:before="240" w:after="0"/>
        <w:jc w:val="left"/>
        <w:rPr>
          <w:rFonts w:ascii="Times New Roman" w:hAnsi="Times New Roman"/>
          <w:sz w:val="20"/>
        </w:rPr>
      </w:pPr>
      <w:r>
        <w:rPr>
          <w:rFonts w:ascii="Times New Roman" w:hAnsi="Times New Roman"/>
          <w:sz w:val="20"/>
        </w:rPr>
        <w:t xml:space="preserve">(10) issuances of Series A-1 Preferred Stock and/or Series B-1 Preferred Stock pursuant to certain Secondary Stock Purchase Agreements dated on or about the date hereof or pursuant to a certain Series D Preferred Stock Purchase Agreement dated on or about the date hereof.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Determination of Consideration</w:t>
      </w:r>
      <w:r>
        <w:rPr>
          <w:rFonts w:ascii="Times New Roman" w:hAnsi="Times New Roman"/>
          <w:sz w:val="20"/>
        </w:rPr>
        <w:t xml:space="preserve">. In the case of the issuance of Common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 In the case of the issuance of the Common Stock for a consideration in whole or in part other than cash, the consideration other than cash shall be deemed to be the fair value thereof as determined by the Board of Directors (including the affirmative vote of at least one Series A Director and the Series B Director) irrespective of any accounting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Deemed Issuances of Common Stock</w:t>
      </w:r>
      <w:r>
        <w:rPr>
          <w:rFonts w:ascii="Times New Roman" w:hAnsi="Times New Roman"/>
          <w:sz w:val="20"/>
        </w:rPr>
        <w:t>. In the case of the issuance (whether before, on or after the Effective Date) of securities or rights convertible into, or entitling the holder thereof to receive directly or indirectly, additional shares of Common Stock (the </w:t>
      </w:r>
      <w:r>
        <w:rPr>
          <w:rFonts w:ascii="Times New Roman" w:hAnsi="Times New Roman"/>
          <w:b/>
          <w:sz w:val="20"/>
          <w:u w:val="single"/>
        </w:rPr>
        <w:t>Common Stock Equivalents</w:t>
      </w:r>
      <w:r>
        <w:rPr>
          <w:rFonts w:ascii="Times New Roman" w:hAnsi="Times New Roman"/>
          <w:sz w:val="20"/>
        </w:rPr>
        <w:t xml:space="preserve">), the following provisions shall apply for all purposes of this Subsection 4(d)(i): </w:t>
      </w:r>
    </w:p>
    <w:p>
      <w:pPr>
        <w:pStyle w:val="TextBody"/>
        <w:bidi w:val="0"/>
        <w:spacing w:before="240" w:after="0"/>
        <w:jc w:val="left"/>
        <w:rPr>
          <w:rFonts w:ascii="Times New Roman" w:hAnsi="Times New Roman"/>
          <w:sz w:val="20"/>
        </w:rPr>
      </w:pPr>
      <w:r>
        <w:rPr>
          <w:rFonts w:ascii="Times New Roman" w:hAnsi="Times New Roman"/>
          <w:sz w:val="20"/>
        </w:rPr>
        <w:t xml:space="preserve">(1) The aggregate maximum number of shares of Common Stock deliverable upon conversion, exchange or exercise (assuming the satisfaction of any conditions to convertibility, exchangeability or exercisability, including, without limitation, the passage of time, but without taking into account potential antidilution adjustments) of any Common Stock Equivalents and subsequent conversion, exchange or exercise thereof shall be deemed to have been issued at the time such securities were issued or such Common Stock Equivalents were issued and for a consideration equal to the consideration, if any, received by this corporation for any such securities and related Common Stock Equivalents (excluding any cash received on account of accrued interest or accrued dividends), plus the minimum additional consideration, if any, to be received by this corporation (without taking into account potential antidilution adjustments) upon the conversion, exchange or exercise of any Common Stock Equivalents (the consideration in each case to be determined in the manner provided in Subsection 4(d)(i)(C)). </w:t>
      </w:r>
    </w:p>
    <w:p>
      <w:pPr>
        <w:pStyle w:val="TextBody"/>
        <w:bidi w:val="0"/>
        <w:spacing w:before="240" w:after="0"/>
        <w:jc w:val="left"/>
        <w:rPr>
          <w:rFonts w:ascii="Times New Roman" w:hAnsi="Times New Roman"/>
          <w:sz w:val="20"/>
        </w:rPr>
      </w:pPr>
      <w:r>
        <w:rPr>
          <w:rFonts w:ascii="Times New Roman" w:hAnsi="Times New Roman"/>
          <w:sz w:val="20"/>
        </w:rPr>
        <w:t xml:space="preserve">(2) In the event of any change in the number of shares of Common Stock deliverable or in the consideration payable to this corporation upon conversion, exchange or exercise of any Common Stock Equivalents, other than a change resulting from the antidilution provisions thereof, the Conversion Price of any series of Preferred Stock, to the extent in any way affected by or computed using such Common Stock Equivalents, shall be recomputed to reflect such change, but no further adjustment shall be made for the actual issuance of Common Stock or any payment of such consideration upon the conversion, exchange or exercise of such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(3) Upon the termination or expiration of the convertibility, exchangeability or exercisability of any Common Stock Equivalents, the Conversion Price of any series of Preferred Stock, to the extent in any way affected by or computed using such Common Stock Equivalents, shall be recomputed to reflect the issuance of only the number of shares of Common Stock (and Common Stock Equivalents that remain convertible, exchangeable or exercisable) actually issued upon the conversion, exchange or exercise of such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(4) The number of shares of Common Stock deemed issued and the consideration deemed paid therefor pursuant to Subsection 4(d)(i)(D)(1) shall be appropriately adjusted to reflect any change, termination or expiration of the type described in either Subsection 4(d)(i)(D)(2) or 4(d)(i)(D)(3).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No Increased Conversion Price</w:t>
      </w:r>
      <w:r>
        <w:rPr>
          <w:rFonts w:ascii="Times New Roman" w:hAnsi="Times New Roman"/>
          <w:sz w:val="20"/>
        </w:rPr>
        <w:t xml:space="preserve">. Notwithstanding any other provisions of this Subsection (4)(d)(i), except to the limited extent provided for in Subsections 4(d)(i)(D)(2) and 4(d)(i)(D)(3), no adjustment of the Conversion Price pursuant to this Subsection 4(d)(i) shall have the effect of increasing the Conversion Price above the Conversion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u w:val="single"/>
        </w:rPr>
        <w:t>Multiple Closing Dates</w:t>
      </w:r>
      <w:r>
        <w:rPr>
          <w:rFonts w:ascii="Times New Roman" w:hAnsi="Times New Roman"/>
          <w:sz w:val="20"/>
        </w:rPr>
        <w:t xml:space="preserve">. In the event this corporation shall issue on more than one date shares of Additional Stock that are a part of one transaction or a series of related transactions within a ninety (90) day period and that would result in an adjustment to the Conversion Price of any series of Preferred Stock pursuant to the terms of Subsection 4(d)(i), then, upon such final issuance, the applicable Conversion Price of the affected series of Preferred Stock shall be readjusted to give effect to all such issuances within such ninety (90) day period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u w:val="single"/>
        </w:rPr>
        <w:t>Stock Splits and Dividends</w:t>
      </w:r>
      <w:r>
        <w:rPr>
          <w:rFonts w:ascii="Times New Roman" w:hAnsi="Times New Roman"/>
          <w:sz w:val="20"/>
        </w:rPr>
        <w:t xml:space="preserve">. In the event this corporation should at any time after the Effective Date fix a record date for the effectuation of a split or subdivision of the outstanding shares of Common Stock or the determination of holders of Common Stock entitled to receive a dividend or other distribution payable in additional shares of Common Stock or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for each series of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4(d)(i)(D).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u w:val="single"/>
        </w:rPr>
        <w:t>Reverse Stock Splits</w:t>
      </w:r>
      <w:r>
        <w:rPr>
          <w:rFonts w:ascii="Times New Roman" w:hAnsi="Times New Roman"/>
          <w:sz w:val="20"/>
        </w:rPr>
        <w:t xml:space="preserve">. If the number of shares of Common Stock outstanding at any time after the Effective Date is decreased by a combination of the outstanding shares of Common Stock, then, following the record date of such combination, the Conversion Prices for each series of Preferred Stock that is convertible into Common Stock shall be appropriately increased so that the number of shares of Common Stock issuable on conversion of each share of such series shall be decreased in proportion to such decrease in outstanding shares.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u w:val="single"/>
        </w:rPr>
        <w:t>Other Distributions</w:t>
      </w:r>
      <w:r>
        <w:rPr>
          <w:rFonts w:ascii="Times New Roman" w:hAnsi="Times New Roman"/>
          <w:sz w:val="20"/>
        </w:rPr>
        <w:t xml:space="preserve">. In the event this corporation shall declare a distribution (other than a subdivision, combination or merger or sale of assets transaction provided for elsewhere in this Section 4 or in Section 2 of this Article IV(B)) payable in securities of other persons, evidences of indebtedness issued by the corporation or other persons, assets (excluding cash dividends) or options or rights not referred to in Subsection 4(d)(i) or 4(d)(ii), then, in each such case for the purpose of this Subsection 4(e), the holders of each series of Preferred Stock that is convertible into Common Stock shall be entitled to a proportionate share of any such distribution as though they were the holders of the number of shares of Common Stock of the corporation into which their shares of Preferred Stock are convertible as of the record date fixed for the determination of the holders of Common Stock of the corporation entitled to receive such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u w:val="single"/>
        </w:rPr>
        <w:t>Recapitalizations</w:t>
      </w:r>
      <w:r>
        <w:rPr>
          <w:rFonts w:ascii="Times New Roman" w:hAnsi="Times New Roman"/>
          <w:sz w:val="20"/>
        </w:rPr>
        <w:t xml:space="preserve">. If at any time or from time to time there shall be a recapitalization of the Common Stock (other than a subdivision, combination or merger or sale of assets transaction provided for elsewhere in this Section 4 or in Section 2 of this Article IV(B)) provision shall be made so that the holders of each series of Preferred Stock that is convertible into Common Stock shall thereafter be entitled to receive upon conversion of such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such Preferred Stock after the recapitalization to the end that the provisions of this Section 4 (including adjustment of the Conversion Price then in effect and the number of shares purchasable upon conversion of such Preferred Stock) shall be applicable after that event and be as nearly equivalent as practicable.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u w:val="single"/>
        </w:rPr>
        <w:t>No Fractional Shares and Certificate as to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fractional shares shall be issued upon the conversion of any share or shares of Preferred Stock, and the number of shares of Common Stock to be issued shall be rounded down to the nearest whole share. The number of shares issuable upon such conversion shall be determined on the basis of the total number of shares of Preferred Stock the holder is at the time converting into Common Stock and the number of shares of Common Stock issuable upon such aggregate conversion. If the conversion would result in any fractional share, this corporation shall, in lieu of issuing any such fractional share, pay the holder thereof an amount in cash equal to the fair market value of such fractional share on the date of conversion, as determined in good faith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(ii) 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such Preferred Stock a certificate setting forth such adjustment or readjustment and showing in detail the facts upon which such adjustment or readjustment is based. No such certificate need be provided for an aggregate change in the Conversion Price of less than $0.01 per share. This corporation shall, upon the written request at any time of any holder of Preferred Stock, furnish or cause to be furnished to such holder a like certificate setting forth (A) such adjustment and readjustment, (B) the Conversion Price for the applicable series of Preferred Stock at the time in effect, and (C) the number of shares of Common Stock and the amount, if any, of other property which at the time would be received upon the conversion of a share of such series of Preferred Stock.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u w:val="single"/>
        </w:rPr>
        <w:t>Notices of Record Date</w:t>
      </w:r>
      <w:r>
        <w:rPr>
          <w:rFonts w:ascii="Times New Roman" w:hAnsi="Times New Roman"/>
          <w:sz w:val="20"/>
        </w:rPr>
        <w:t xml:space="preserve">.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this corporation shall mail to each holder of Preferred Stock, at least 10 days prior to the date specified therein, a notice specifying the date on which any such record is to be taken for the purpose of such dividend, distribution or right, and the amount and character of such dividend, distribution or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each series of Preferred Stock that is convertible into Common Stock, such number of its shares of Common Stock as shall from time to time be sufficient to effect the conversion of all outstanding shares of such series of Preferred Stock; and if at any time the number of authorized but unissued shares of Common Stock shall not be sufficient to effect the conversion of all then outstanding shares of such series of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u w:val="single"/>
        </w:rPr>
        <w:t>Waiver of Adjustment to Conversion Price</w:t>
      </w:r>
      <w:r>
        <w:rPr>
          <w:rFonts w:ascii="Times New Roman" w:hAnsi="Times New Roman"/>
          <w:sz w:val="20"/>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holders of a majority of such series of Preferred Stock. Any such waiver shall bind all future holders of shares of such series of Preferred Stock.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General Voting Rights</w:t>
      </w:r>
      <w:r>
        <w:rPr>
          <w:rFonts w:ascii="Times New Roman" w:hAnsi="Times New Roman"/>
          <w:sz w:val="20"/>
        </w:rPr>
        <w:t xml:space="preserve">. The holder of each share of Preferred Stock shall have the right to one vote for each share of Common Stock into which such Preferred Stock could then be converted,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Subsection 5(b) below with respect to the election of directors by the separate class vote of the holders of Common Stock, shall be entitled to vote, together with holders of Common Stock,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Voting for the Election of Directors</w:t>
      </w:r>
      <w:r>
        <w:rPr>
          <w:rFonts w:ascii="Times New Roman" w:hAnsi="Times New Roman"/>
          <w:sz w:val="20"/>
        </w:rPr>
        <w:t>. So long as at least fifty percent (50%) of the shares of Series A Preferred Stock originally issued remain outstanding (as adjusted for any stock splits, stock dividends, combinations, subdivisions, recapitalizations or the like), the holders of the Series A Preferred Stock, exclusively and as a separate class, shall be entitled to elect up to two (2) directors of the corporation (one director for so long as the group of investors identified as Group A Investors pursuant to that certain Amended and Restated Investors Rights Agreement, dated as of May 17, 2022, by and among the Company and the investors party thereto (the </w:t>
      </w:r>
      <w:r>
        <w:rPr>
          <w:rFonts w:ascii="Times New Roman" w:hAnsi="Times New Roman"/>
          <w:b/>
          <w:sz w:val="20"/>
          <w:u w:val="single"/>
        </w:rPr>
        <w:t>Rights Agreement</w:t>
      </w:r>
      <w:r>
        <w:rPr>
          <w:rFonts w:ascii="Times New Roman" w:hAnsi="Times New Roman"/>
          <w:sz w:val="20"/>
        </w:rPr>
        <w:t xml:space="preserve">), continue to own at least 50% of the shares held by them as of the date hereof (as adjusted for any stock splits, stock dividends, combinations, subdivisions, recapitalizations or the like), and the other director for so long as the group of investors identified as Group B Investors pursuant to the Rights Agreement continue to own at least 50% of the shares held by them as of the date hereof (as adjusted for any stock splits, stock dividends, combinations,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subdivisions, recapitalizations or the like)) (the </w:t>
      </w:r>
      <w:r>
        <w:rPr>
          <w:rFonts w:ascii="Times New Roman" w:hAnsi="Times New Roman"/>
          <w:b/>
          <w:sz w:val="20"/>
          <w:u w:val="single"/>
        </w:rPr>
        <w:t>Series A</w:t>
      </w:r>
      <w:r>
        <w:rPr>
          <w:rFonts w:ascii="Times New Roman" w:hAnsi="Times New Roman"/>
          <w:sz w:val="20"/>
          <w:u w:val="single"/>
        </w:rPr>
        <w:t xml:space="preserve"> </w:t>
      </w:r>
      <w:r>
        <w:rPr>
          <w:rFonts w:ascii="Times New Roman" w:hAnsi="Times New Roman"/>
          <w:b/>
          <w:sz w:val="20"/>
          <w:u w:val="single"/>
        </w:rPr>
        <w:t>Directors</w:t>
      </w:r>
      <w:r>
        <w:rPr>
          <w:rFonts w:ascii="Times New Roman" w:hAnsi="Times New Roman"/>
          <w:sz w:val="20"/>
        </w:rPr>
        <w:t>). So long as at least 14,651,923 shares of Series B Preferred Stock remain outstanding (as adjusted for any stock splits, stock dividends, combinations, subdivisions, recapitalizations or the like), the holders of the Series B Preferred Stock, exclusively and as a separate class, shall be entitled to elect one (1) director of the corporation (the </w:t>
      </w:r>
      <w:r>
        <w:rPr>
          <w:rFonts w:ascii="Times New Roman" w:hAnsi="Times New Roman"/>
          <w:b/>
          <w:sz w:val="20"/>
          <w:u w:val="single"/>
        </w:rPr>
        <w:t>Series B Director</w:t>
      </w:r>
      <w:r>
        <w:rPr>
          <w:rFonts w:ascii="Times New Roman" w:hAnsi="Times New Roman"/>
          <w:sz w:val="20"/>
        </w:rPr>
        <w:t> and together with the Series A Directors, the </w:t>
      </w:r>
      <w:r>
        <w:rPr>
          <w:rFonts w:ascii="Times New Roman" w:hAnsi="Times New Roman"/>
          <w:b/>
          <w:sz w:val="20"/>
          <w:u w:val="single"/>
        </w:rPr>
        <w:t>Preferred Directors</w:t>
      </w:r>
      <w:r>
        <w:rPr>
          <w:rFonts w:ascii="Times New Roman" w:hAnsi="Times New Roman"/>
          <w:sz w:val="20"/>
        </w:rPr>
        <w:t>). The holders of record of the shares of Common Stock, exclusively and as a separate class, shall be entitled to elect two (2) directors of the corporation (the </w:t>
      </w:r>
      <w:r>
        <w:rPr>
          <w:rFonts w:ascii="Times New Roman" w:hAnsi="Times New Roman"/>
          <w:b/>
          <w:sz w:val="20"/>
          <w:u w:val="single"/>
        </w:rPr>
        <w:t>Common Directors</w:t>
      </w:r>
      <w:r>
        <w:rPr>
          <w:rFonts w:ascii="Times New Roman" w:hAnsi="Times New Roman"/>
          <w:sz w:val="20"/>
        </w:rPr>
        <w:t>). Any additional authorized directors of the corporation shall be elected by the holders of record of the shares of Common Stock, Series A Preferred Stock and Series B Preferred Stock, voting together as a class (each, an </w:t>
      </w:r>
      <w:r>
        <w:rPr>
          <w:rFonts w:ascii="Times New Roman" w:hAnsi="Times New Roman"/>
          <w:b/>
          <w:sz w:val="20"/>
          <w:u w:val="single"/>
        </w:rPr>
        <w:t>Independent Director</w:t>
      </w:r>
      <w:r>
        <w:rPr>
          <w:rFonts w:ascii="Times New Roman" w:hAnsi="Times New Roman"/>
          <w:sz w:val="20"/>
        </w:rPr>
        <w:t> and collectively, the </w:t>
      </w:r>
      <w:r>
        <w:rPr>
          <w:rFonts w:ascii="Times New Roman" w:hAnsi="Times New Roman"/>
          <w:b/>
          <w:sz w:val="20"/>
          <w:u w:val="single"/>
        </w:rPr>
        <w:t>Independent Directors</w:t>
      </w:r>
      <w:r>
        <w:rPr>
          <w:rFonts w:ascii="Times New Roman" w:hAnsi="Times New Roman"/>
          <w:sz w:val="20"/>
        </w:rPr>
        <w:t xml:space="preserve">). Notwithstanding the provisions of Section 223(a)(1) and 223(a)(2) of the General Corporation Law, any vacancy in the Board of Directors, including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the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At any meeting held for the purpose of electing a director, the presence in person or by proxy of the holders of a majority of the outstanding shares of the class or series entitled to elect such director shall constitute a quorum for the purpose of electing such director.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Protective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Preferred Stock Protective Provisions</w:t>
      </w:r>
      <w:r>
        <w:rPr>
          <w:rFonts w:ascii="Times New Roman" w:hAnsi="Times New Roman"/>
          <w:sz w:val="20"/>
        </w:rPr>
        <w:t xml:space="preserve">. So long as a Qualified Public Offering has not occurred and the amount of Preferred Stock issued and outstanding remains in excess of five percent (5%) of the total outstanding share capital of this corporation (as adjusted for any stock splits, stock dividends, combinations, subdivisions, recapitalizations or the like), this corporation shall not (by amendment, merger, consolidation or otherwise) without (in addition to any other vote required by law or this Amended and Restated Certificate of Incorporation) first obtaining the approval (by vote or written consent, as provided by law) of the Preferred Majority: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authorize or issue any equity security (including any other security convertible into or exercisable for any such equity security) having a preference over, or being on a parity with, any series of Preferred Stock, other than the issuance pursuant to the terms of the Series D Preferred Stock Purchase Agreement dated on or about the date hereof among this corporation and the investors listed on Schedule A thereto of any authorized but unissued shares of Series D Preferred Stock designated in this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consummate a Liquidation Event, or effect any other merger, acquisition or consolidation or similar transactions;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pay or declare any dividend on any shares of capital stock of this corporation;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redeem, purchase or otherwise acquire (or pay into or set aside for a sinking fund for such purpose) any share or shares of Preferred Stock or Common Stock; provided, however, that this restriction shall not apply to the repurchase of shares of Common Stock at no higher than the original purchase price of such shares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(A) reclassify, alter or amend any existing security of this corporation that is pari passu with any series of Preferred Stock with respect to dividends, liquidation or redemption, if such reclassification, alteration or amendment would render such other security senior to such series of Preferred Stock in respect of any such right, preference or privilege or (B) reclassify, alter or amend any existing security of this corporation that is junior to a series of Preferred Stock with respect to dividends, liquidation or redemption, if such reclassification, alteration or amendment would render such other security senior to or pari passu with such series of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increase or decrease (other than by redemption or conversion) the total number of authorized shares of Common Stock or Preferred Stock or designated shares of any series of Preferred Stock;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increase or decrease the authorized number of directors on the Board of Directors;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alter or change the rights, preferences or privileges of the Preferred Stock in a manner adverse to the Preferred Stock;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create, or consummate a transaction that results in the corporation holding capital stock in, any subsidiary that is not wholly owned (either directly or through one or more other subsidiaries) by this corporation,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 or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amend this Section 6(a).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Series C Preferred Stock Protective Provisions</w:t>
      </w:r>
      <w:r>
        <w:rPr>
          <w:rFonts w:ascii="Times New Roman" w:hAnsi="Times New Roman"/>
          <w:sz w:val="20"/>
        </w:rPr>
        <w:t xml:space="preserve">. So long as a Qualified Public Offering has not occurred and any shares of Series C Preferred Stock remain outstanding, this corporation shall not (by amendment, merger, consolidation or otherwise) without (in addition to any other vote required by law or this Amended and Restated Certificate of Incorporation) first obtaining the approval (by vote or written consent, as provided by law) of the Series C Majority: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effect any Liquidation Event where the proceeds payable per share of Series C Preferred Stock at the initial closing of such transaction are less than the Series C Original Issue Price;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modify, amend or waive the rights, privileges and preferences of the Series C Preferred Stock in a manner adverse to the Series C Preferred Stock;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pay or declare any dividend on any shares of capital stock of this corporation;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redeem, purchase or otherwise acquire (or pay into or set aside for a sinking fund for such purpose) any share or shares of Preferred Stock or Common Stock; provided, however, that this restriction shall not apply to the repurchase of shares of Common Stock at no higher than the original purchase price of such shares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increase or decrease the number of authorized shares of Series C Preferred Stock; or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amend this Section 6(b).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Series D Preferred Stock Protective Provisions</w:t>
      </w:r>
      <w:r>
        <w:rPr>
          <w:rFonts w:ascii="Times New Roman" w:hAnsi="Times New Roman"/>
          <w:sz w:val="20"/>
        </w:rPr>
        <w:t xml:space="preserve">. So long as a Qualified Public Offering has not occurred and any shares of Series D Preferred Stock remain outstanding, this corporation shall not (by amendment, merger, consolidation or otherwise) without (in addition to any other vote required by law or this Amended and Restated Certificate of Incorporation) first obtaining the approval (by vote or written consent, as provided by law) of the Series D Majority: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effect any Liquidation Event where the proceeds payable per share of Series D Preferred Stock at the initial closing of such transaction are less than the Series D Original Issue Price;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modify, amend or waive the rights, privileges and preferences of the Series D Preferred Stock in a manner adverse to the Series D Preferred Stock;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pay or declare any dividend on any shares of capital stock of this corporation;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redeem, purchase or otherwise acquire (or pay into or set aside for a sinking fund for such purpose) any share or shares of Preferred Stock or Common Stock; provided, however, that this restriction shall not apply to the repurchase of shares of Common Stock at no higher than the original purchase price of such shares from employees, officers, directors, consultants or other persons performing services for this corporation or any subsidiary pursuant to agreements under which this corporation has the option to repurchase such shares upon the occurrence of certain events, such as the termination of employment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increase or decrease the number of authorized shares of Series D Preferred Stock; or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amend this Section 6(c).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Status of Converted Stock</w:t>
      </w:r>
      <w:r>
        <w:rPr>
          <w:rFonts w:ascii="Times New Roman" w:hAnsi="Times New Roman"/>
          <w:sz w:val="20"/>
        </w:rPr>
        <w:t xml:space="preserve">. In the event any shares of Preferred Stock shall be converted pursuant to Section 4 hereof, the shares so converted shall be cancelled and shall not be issuable by this corporation. This Amended and Restated Certificate of Incorporation of this corporation shall be appropriately amended to effect the corresponding reduction in this corporations authorized capital stock.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Any notice required by the provisions of this Article IV(B) to be given to the holders of Preferred Stock shall be deemed given (i) if deposited in the United States mail, postage prepaid (or, in the case of foreign holders, by internationally recognized courier, with written verification of receipt), and addressed to each holder of record at his, her or its address appearing on the books of this corporation, (ii) if such notice is provided by electronic transmission in a manner permitted by Section 232 of the General Corporation Law (including without limitation facsimile transmission when directed to a number at which the stockholder has consented to receive notice and e-mail when directed to the electronic mail address at which the stockholder has consented to receive notice), on the day such electronic transmission is sent, if sent during the normal business hours of the recipient, and if not then on the next business day, or (iii) if such notice is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u w:val="single"/>
        </w:rPr>
        <w:t>Waiver</w:t>
      </w:r>
      <w:r>
        <w:rPr>
          <w:rFonts w:ascii="Times New Roman" w:hAnsi="Times New Roman"/>
          <w:sz w:val="20"/>
        </w:rPr>
        <w:t xml:space="preserve">. Except as otherwise set forth herein, (a) any of the rights, powers, preferences and other terms of the Preferred Stock set forth herein may be waived on behalf of all holders of Preferred Stock by the affirmative written consent or vote of the Preferred Majority and (b) at any time more than one (1)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a majority the shares of such series of Preferred Stock then outstanding.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Common Stock</w:t>
      </w:r>
      <w:r>
        <w:rPr>
          <w:rFonts w:ascii="Times New Roman" w:hAnsi="Times New Roman"/>
          <w:sz w:val="20"/>
        </w:rPr>
        <w:t xml:space="preserve">. The rights, preferences, privileges and restrictions granted to and imposed on the Common Stock are as set forth below in this Article IV(C).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Dividend Rights</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Liquidation Rights</w:t>
      </w:r>
      <w:r>
        <w:rPr>
          <w:rFonts w:ascii="Times New Roman" w:hAnsi="Times New Roman"/>
          <w:sz w:val="20"/>
        </w:rPr>
        <w:t xml:space="preserve">. Upon the liquidation, dissolution or winding up of this corporation, the assets of this corporation shall be distributed as provided in Section 2 of Article IV(B)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Redemption</w:t>
      </w:r>
      <w:r>
        <w:rPr>
          <w:rFonts w:ascii="Times New Roman" w:hAnsi="Times New Roman"/>
          <w:sz w:val="20"/>
        </w:rPr>
        <w:t xml:space="preserve">. The Common Stock is not redeemable at the option of the holder.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Voting Rights</w:t>
      </w:r>
      <w:r>
        <w:rPr>
          <w:rFonts w:ascii="Times New Roman" w:hAnsi="Times New Roman"/>
          <w:sz w:val="20"/>
        </w:rPr>
        <w:t xml:space="preserve">. The holder of each share of Common Stock shall have the right to one vote for each such share, and shall be entitled to notice of any stockholders meeting in accordance with the Bylaws of this corporation, and shall be entitled to vote upon such matters and in such manner as may be provided by law. Subject to compliance with Article IV(B)(6) hereof,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Amended and Restated Certificate of Incorporation, in furtherance and not in limitation of the powers conferred by statute, the Board of Directors is expressly authorized to make, repeal, alter, amend and rescind any or all of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The number of directors of this corporation shall be determined in the manner set forth in the Bylaws of this corporation. </w:t>
      </w:r>
    </w:p>
    <w:p>
      <w:pPr>
        <w:pStyle w:val="TextBody"/>
        <w:bidi w:val="0"/>
        <w:spacing w:before="120" w:after="0"/>
        <w:jc w:val="left"/>
        <w:rPr>
          <w:rFonts w:ascii="Times New Roman" w:hAnsi="Times New Roman"/>
          <w:sz w:val="20"/>
        </w:rPr>
      </w:pPr>
      <w:r>
        <w:rPr>
          <w:rFonts w:ascii="Times New Roman" w:hAnsi="Times New Roman"/>
          <w:sz w:val="20"/>
        </w:rPr>
        <w:t xml:space="preserve">Elections of directors need not be by written ballot unless the Bylaws of the corporation so shall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the General Corporation Law, a director of the corporation shall not be personally liable to the corporation or its stockholders for monetary damages for breach of his or her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VIII to authorize corporate action further eliminating or limiting the personal liability of directors, then the liability of a director of this corporation shall be eliminated or limited to the fullest extent permitted by the General Corporation Law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amendment, repeal or modification of the foregoing provisions of this Article VIII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This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 subject to the Protective Provisions set forth above.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subject only to limits created by applicable General Corporation Law (statutory or non-statutory), with respect to actions for breach of duty to this corporation, its stockholders, and others. </w:t>
      </w:r>
    </w:p>
    <w:p>
      <w:pPr>
        <w:pStyle w:val="TextBody"/>
        <w:bidi w:val="0"/>
        <w:spacing w:before="240" w:after="0"/>
        <w:jc w:val="left"/>
        <w:rPr>
          <w:rFonts w:ascii="Times New Roman" w:hAnsi="Times New Roman"/>
          <w:sz w:val="20"/>
        </w:rPr>
      </w:pPr>
      <w:r>
        <w:rPr>
          <w:rFonts w:ascii="Times New Roman" w:hAnsi="Times New Roman"/>
          <w:sz w:val="20"/>
        </w:rPr>
        <w:t>This corporation is authorized to provide indemnification of agents (as defined in Section 317 of the California General Corporation Law (</w:t>
      </w:r>
      <w:r>
        <w:rPr>
          <w:rFonts w:ascii="Times New Roman" w:hAnsi="Times New Roman"/>
          <w:b/>
          <w:sz w:val="20"/>
          <w:u w:val="single"/>
        </w:rPr>
        <w:t>CGCL</w:t>
      </w:r>
      <w:r>
        <w:rPr>
          <w:rFonts w:ascii="Times New Roman" w:hAnsi="Times New Roman"/>
          <w:sz w:val="20"/>
        </w:rPr>
        <w:t xml:space="preserve">)) for breach of duty to the corporation and its stockholders through bylaw provisions or through agreements with the agents, or through stockholder resolutions, or otherwise, in excess of the indemnification otherwise permitted by Section 317 of the CGCL, subject, at any time or times that the corporation is subject to Section 2115(b) of the CGCL, to the limits on such excess indemnification set forth in Section 204 of the CGCL.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X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This corporation renounces, to the fullest extent permitted by law, any interest or expectancy of this corporation in, or in being offered an opportunity to participate in, any Excluded Opportunity. An </w:t>
      </w:r>
      <w:r>
        <w:rPr>
          <w:rFonts w:ascii="Times New Roman" w:hAnsi="Times New Roman"/>
          <w:b/>
          <w:sz w:val="20"/>
          <w:u w:val="single"/>
        </w:rPr>
        <w:t>Excluded Opportunity</w:t>
      </w:r>
      <w:r>
        <w:rPr>
          <w:rFonts w:ascii="Times New Roman" w:hAnsi="Times New Roman"/>
          <w:sz w:val="20"/>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affiliate or agent of any such holder, other than someone who is an employee of this corporation or any of its subsidiaries (collectively, the persons referred to in clauses (i) and (ii) are </w:t>
      </w:r>
      <w:r>
        <w:rPr>
          <w:rFonts w:ascii="Times New Roman" w:hAnsi="Times New Roman"/>
          <w:b/>
          <w:sz w:val="20"/>
          <w:u w:val="single"/>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this corporation while such Covered Person is performing services in such capacity. Any repeal or modification of this Article XII will only be prospective and will not affect the rights under this Article XII in effect at the time of the occurrence of any actions or omissions to act giving rise to liability. Notwithstanding anything to the contrary contained elsewhere in this Amended and Restated Certificate of Incorporation, the affirmative vote of the holders of the Preferred Majority will be required to amend or repeal, or to adopt any provisions inconsistent with this Article XII.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If any provision or provisions of this Article XIII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 (including, without limitation, each portion of any sentence of this Article XIII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and restatement was approved by the holders of the requisite number of shares of said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That this Amended and Restated Certificate of Incorporation, which restates and integrates and further amends the provisions of this corporations Amended and Restated Certificate of Incorporation, has been duly adopted in accordance with Sections 242 and 245 of the General Corporation Law.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Amended and Restated Certificate of Incorporation has been executed by a duly authorized officer of this corporation as of February 12,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Jitendra Mohan</w:t>
            </w:r>
          </w:p>
        </w:tc>
      </w:tr>
      <w:tr>
        <w:trPr/>
        <w:tc>
          <w:tcPr>
            <w:tcW w:w="4082" w:type="dxa"/>
            <w:tcBorders/>
          </w:tcPr>
          <w:p>
            <w:pPr>
              <w:pStyle w:val="TableContents"/>
              <w:bidi w:val="0"/>
              <w:spacing w:before="0" w:after="283"/>
              <w:jc w:val="left"/>
              <w:rPr/>
            </w:pPr>
            <w:r>
              <w:rPr/>
              <w:t>Jitendra Mohan, Chief Executive Officer</w:t>
            </w:r>
          </w:p>
        </w:tc>
      </w:tr>
    </w:tbl>
    <w:p>
      <w:pPr>
        <w:pStyle w:val="TextBody"/>
        <w:bidi w:val="0"/>
        <w:spacing w:before="0" w:after="0"/>
        <w:jc w:val="right"/>
        <w:rPr>
          <w:rFonts w:ascii="Times New Roman" w:hAnsi="Times New Roman"/>
          <w:b/>
          <w:sz w:val="20"/>
        </w:rPr>
      </w:pPr>
      <w:bookmarkStart w:id="35" w:name="d285484dex32.htm"/>
      <w:bookmarkStart w:id="36" w:name="ksd285484dex32"/>
      <w:bookmarkEnd w:id="35"/>
      <w:bookmarkEnd w:id="36"/>
      <w:r>
        <w:rPr>
          <w:rFonts w:ascii="Times New Roman" w:hAnsi="Times New Roman"/>
          <w:b/>
          <w:sz w:val="20"/>
        </w:rPr>
        <w:t xml:space="preserve">Exhibit 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left"/>
        <w:rPr>
          <w:rFonts w:ascii="Times New Roman" w:hAnsi="Times New Roman"/>
          <w:sz w:val="20"/>
        </w:rPr>
      </w:pPr>
      <w:r>
        <w:rPr>
          <w:rFonts w:ascii="Times New Roman" w:hAnsi="Times New Roman"/>
          <w:sz w:val="20"/>
        </w:rPr>
        <w:t>Astera Labs, Inc., a corporation organized and existing under the laws of the State of Delaware (the </w:t>
      </w:r>
      <w:r>
        <w:rPr>
          <w:rFonts w:ascii="Times New Roman" w:hAnsi="Times New Roman"/>
          <w:b/>
          <w:sz w:val="20"/>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1. The name of the Corporation is Astera Labs, Inc. The date of the filing of its original Certificate of Incorporation with the Secretary of State of the State of Delaware was October 26, 2017 (the </w:t>
      </w:r>
      <w:r>
        <w:rPr>
          <w:rFonts w:ascii="Times New Roman" w:hAnsi="Times New Roman"/>
          <w:b/>
          <w:sz w:val="20"/>
        </w:rPr>
        <w:t>Original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This Amended and Restated Certificate of Incorporation (the </w:t>
      </w:r>
      <w:r>
        <w:rPr>
          <w:rFonts w:ascii="Times New Roman" w:hAnsi="Times New Roman"/>
          <w:b/>
          <w:sz w:val="20"/>
        </w:rPr>
        <w:t>Certificate</w:t>
      </w:r>
      <w:r>
        <w:rPr>
          <w:rFonts w:ascii="Times New Roman" w:hAnsi="Times New Roman"/>
          <w:sz w:val="20"/>
        </w:rPr>
        <w:t>) amends, restates and integrates the provisions of the Amended and Restated Certificate of Incorporation that was filed with the Secretary of State of the State of Delaware on May 16, 2022 (the </w:t>
      </w:r>
      <w:r>
        <w:rPr>
          <w:rFonts w:ascii="Times New Roman" w:hAnsi="Times New Roman"/>
          <w:b/>
          <w:sz w:val="20"/>
        </w:rPr>
        <w:t>Amended and Restated Certificate</w:t>
      </w:r>
      <w:r>
        <w:rPr>
          <w:rFonts w:ascii="Times New Roman" w:hAnsi="Times New Roman"/>
          <w:sz w:val="20"/>
        </w:rPr>
        <w:t>), and was duly adopted in accordance with the provisions of Sections 228, 242 and 245 of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The text of the Amended and Restated Certificate is hereby amended and restated in its entirety to provide as herein set forth in full.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Corporation is Astera Labs,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Corporations registered office in the State of Delaware is 1209 Orange Street, in the City of Wilmington, County of Newcastle, State of Delaware, 19801. The name of its registered agent at such address is The Corporation Trust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The total number of shares of capital stock which the Corporation shall have authority to issue is one billion one hundred million (1,100,000,000), of which (i) one billion (1,000,000,000) shares shall be a class designated as common stock, par value $0.0001 per share (the Common Stock), and (ii) one hundred million (100,000,000) shares shall be a class designated as undesignated preferred stock, par value $0.0001 per share (the </w:t>
      </w:r>
      <w:r>
        <w:rPr>
          <w:rFonts w:ascii="Times New Roman" w:hAnsi="Times New Roman"/>
          <w:b/>
          <w:sz w:val="20"/>
        </w:rPr>
        <w:t>Undesignated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any certificate of designations of any series of Undesignated Preferred Stock, the number of authorized shares of the class of Common Stock or Undesignated Preferred Stock may be increased or decreased (but not below the number of shares of such class then outstanding) by the affirmative vote of the holders of a majority of the stock of the Corporation entitled to vote thereon irrespective of the provisions of Section 242(b)(2)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The powers, preferences and rights of, and the qualifications, limitations and restrictions upon, each class or series of stock shall be determined in accordance with, or as set forth below in, this Article IV. </w:t>
      </w:r>
    </w:p>
    <w:p>
      <w:pPr>
        <w:pStyle w:val="TextBody"/>
        <w:bidi w:val="0"/>
        <w:spacing w:before="480" w:after="0"/>
        <w:jc w:val="center"/>
        <w:rPr>
          <w:rFonts w:ascii="Times New Roman" w:hAnsi="Times New Roman"/>
          <w:sz w:val="20"/>
        </w:rPr>
      </w:pPr>
      <w:r>
        <w:rPr>
          <w:rFonts w:ascii="Times New Roman" w:hAnsi="Times New Roman"/>
          <w:sz w:val="20"/>
        </w:rPr>
        <w:t xml:space="preserve">A.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all the rights, powers and preferences of the Undesignated Preferred Stock and except as provided by law or in this Certificate (or in any certificate of designations of any series of Undesignated Preferred Stock): </w:t>
      </w:r>
    </w:p>
    <w:p>
      <w:pPr>
        <w:pStyle w:val="TextBody"/>
        <w:bidi w:val="0"/>
        <w:spacing w:before="120" w:after="0"/>
        <w:jc w:val="left"/>
        <w:rPr>
          <w:rFonts w:ascii="Times New Roman" w:hAnsi="Times New Roman"/>
          <w:sz w:val="20"/>
        </w:rPr>
      </w:pPr>
      <w:r>
        <w:rPr>
          <w:rFonts w:ascii="Times New Roman" w:hAnsi="Times New Roman"/>
          <w:sz w:val="20"/>
        </w:rPr>
        <w:t>(a) the holders of the Common Stock shall have the exclusive right to vote for the election of directors of the Corporation (the </w:t>
      </w:r>
      <w:r>
        <w:rPr>
          <w:rFonts w:ascii="Times New Roman" w:hAnsi="Times New Roman"/>
          <w:b/>
          <w:sz w:val="20"/>
        </w:rPr>
        <w:t>Directors</w:t>
      </w:r>
      <w:r>
        <w:rPr>
          <w:rFonts w:ascii="Times New Roman" w:hAnsi="Times New Roman"/>
          <w:sz w:val="20"/>
        </w:rPr>
        <w:t xml:space="preserve">) and on all other matters requiring stockholder action, each outstanding share entitling the holder thereof to one vote on each matter properly submitted to the stockholders of the Corporation for their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 </w:t>
      </w:r>
    </w:p>
    <w:p>
      <w:pPr>
        <w:pStyle w:val="TextBody"/>
        <w:bidi w:val="0"/>
        <w:spacing w:before="120" w:after="0"/>
        <w:jc w:val="left"/>
        <w:rPr>
          <w:rFonts w:ascii="Times New Roman" w:hAnsi="Times New Roman"/>
          <w:sz w:val="20"/>
        </w:rPr>
      </w:pPr>
      <w:r>
        <w:rPr>
          <w:rFonts w:ascii="Times New Roman" w:hAnsi="Times New Roman"/>
          <w:sz w:val="20"/>
        </w:rPr>
        <w:t xml:space="preserve">(b) dividends may be declared and paid or set apart for payment upon the Common Stock out of any assets or funds of the Corporation legally available for the payment of dividends, but only when and as declared by the Board of Directors or any authorized committee thereof;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the voluntary or involuntary liquidation, dissolution or winding up of the Corporation, the net assets of the Corporation shall be distributed pro rata to the holders of the Common Stock. </w:t>
      </w:r>
    </w:p>
    <w:p>
      <w:pPr>
        <w:pStyle w:val="TextBody"/>
        <w:bidi w:val="0"/>
        <w:spacing w:before="480" w:after="0"/>
        <w:jc w:val="center"/>
        <w:rPr>
          <w:rFonts w:ascii="Times New Roman" w:hAnsi="Times New Roman"/>
          <w:sz w:val="20"/>
        </w:rPr>
      </w:pPr>
      <w:r>
        <w:rPr>
          <w:rFonts w:ascii="Times New Roman" w:hAnsi="Times New Roman"/>
          <w:sz w:val="20"/>
        </w:rPr>
        <w:t xml:space="preserve">B. </w:t>
      </w:r>
      <w:r>
        <w:rPr>
          <w:rFonts w:ascii="Times New Roman" w:hAnsi="Times New Roman"/>
          <w:sz w:val="20"/>
          <w:u w:val="single"/>
        </w:rPr>
        <w:t>UNDESIGNATED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 without Meeting</w:t>
      </w:r>
      <w:r>
        <w:rPr>
          <w:rFonts w:ascii="Times New Roman" w:hAnsi="Times New Roman"/>
          <w:sz w:val="20"/>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business and affairs of the Corporation shall be managed by or under the direction of the Board of Directors except as otherwise provided herein or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Number of Directors; Term of Office</w:t>
      </w:r>
      <w:r>
        <w:rPr>
          <w:rFonts w:ascii="Times New Roman" w:hAnsi="Times New Roman"/>
          <w:sz w:val="20"/>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w:t>
      </w:r>
      <w:r>
        <w:rPr>
          <w:rFonts w:ascii="Times New Roman" w:hAnsi="Times New Roman"/>
          <w:b/>
          <w:sz w:val="20"/>
        </w:rPr>
        <w:t>IPO Time</w:t>
      </w:r>
      <w:r>
        <w:rPr>
          <w:rFonts w:ascii="Times New Roman" w:hAnsi="Times New Roman"/>
          <w:sz w:val="20"/>
        </w:rPr>
        <w:t xml:space="preserv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Vacancies</w:t>
      </w:r>
      <w:r>
        <w:rPr>
          <w:rFonts w:ascii="Times New Roman" w:hAnsi="Times New Roman"/>
          <w:sz w:val="20"/>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Removal</w:t>
      </w:r>
      <w:r>
        <w:rPr>
          <w:rFonts w:ascii="Times New Roman" w:hAnsi="Times New Roman"/>
          <w:sz w:val="20"/>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for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Directors.</w:t>
      </w:r>
      <w:r>
        <w:rPr>
          <w:rFonts w:ascii="Times New Roman" w:hAnsi="Times New Roman"/>
          <w:sz w:val="20"/>
        </w:rPr>
        <w:t xml:space="preserve"> To the fullest extent permitted by the DGCL,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Officers</w:t>
      </w:r>
      <w:r>
        <w:rPr>
          <w:rFonts w:ascii="Times New Roman" w:hAnsi="Times New Roman"/>
          <w:sz w:val="20"/>
        </w:rPr>
        <w:t xml:space="preserve">. 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 or Modification</w:t>
      </w:r>
      <w:r>
        <w:rPr>
          <w:rFonts w:ascii="Times New Roman" w:hAnsi="Times New Roman"/>
          <w:sz w:val="20"/>
        </w:rPr>
        <w:t xml:space="preserve">. 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BYLAWS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by Directors</w:t>
      </w:r>
      <w:r>
        <w:rPr>
          <w:rFonts w:ascii="Times New Roman" w:hAnsi="Times New Roman"/>
          <w:sz w:val="20"/>
        </w:rPr>
        <w:t xml:space="preserve">. Except as otherwise provided by law, the Bylaws of the Corporation may be amended or repealed by the Board of Directors by the affirmative vote of a majority of the Directors then in office.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 by Stockholders</w:t>
      </w:r>
      <w:r>
        <w:rPr>
          <w:rFonts w:ascii="Times New Roman" w:hAnsi="Times New Roman"/>
          <w:sz w:val="20"/>
        </w:rPr>
        <w:t xml:space="preserve">. Except as otherwise provided therein, the Bylaws of the Corporation may be amended or repealed at any annual meeting of stockholders, or special meeting of stockholders called for such purpose, by the affirmative vote of at least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 OF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For the avoidance of doubt, the provisions of Sections 242(d)(1) and (d)(2) of the DGCL shall apply to the Corporation. </w:t>
      </w:r>
    </w:p>
    <w:p>
      <w:pPr>
        <w:pStyle w:val="TextBody"/>
        <w:bidi w:val="0"/>
        <w:spacing w:before="240" w:after="0"/>
        <w:jc w:val="center"/>
        <w:rPr>
          <w:rFonts w:ascii="Times New Roman" w:hAnsi="Times New Roman"/>
          <w:sz w:val="20"/>
        </w:rPr>
      </w:pPr>
      <w:r>
        <w:rPr>
          <w:rFonts w:ascii="Times New Roman" w:hAnsi="Times New Roman"/>
          <w:sz w:val="20"/>
        </w:rPr>
        <w:t xml:space="preserve">[End of Text]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AMENDED AND RESTATED CERTIFICATE OF INCORPORATION is executed as of this [____] day of [__________],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ASTERA LABS,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Jitendra Mohan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37" w:name="d285484dex33.htm"/>
      <w:bookmarkStart w:id="38" w:name="ksd285484dex33"/>
      <w:bookmarkEnd w:id="37"/>
      <w:bookmarkEnd w:id="38"/>
      <w:r>
        <w:rPr>
          <w:rFonts w:ascii="Times New Roman" w:hAnsi="Times New Roman"/>
          <w:b/>
          <w:sz w:val="20"/>
        </w:rPr>
        <w:t xml:space="preserve">Exhibit 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Adopted April 22, 2022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13 months of the last annual meeting of stockholders or, if no such meeting has been held, the date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Special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stockholders, for any purpose or purposes prescribed in the notice of the meeting, may be called by the Board of Directors or the Chief Executive Officer, if one is elected, or the President, and shall be held at such place, on such date, and at such time as they or he or she shall fix.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Notice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10 nor more than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Delaware General Corporation Law or the Certificate of Incorporation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date of any adjourned meeting is more than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upon which the resolution fixing the record date is adopted by the Board of Directors and, except as otherwise required by law, shall not be more than 60 nor less than 10 days before the date of such adjourned meeting,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meeting of the stockholders, the holders of a majority of the voting power of all of the shares of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 The stockholders present at a duly constituted meeting may continue to transact business until adjournment notwithstanding the withdrawal of enough stockholders to reduce the voting shares below a quorum. </w:t>
      </w:r>
    </w:p>
    <w:p>
      <w:pPr>
        <w:pStyle w:val="TextBody"/>
        <w:bidi w:val="0"/>
        <w:spacing w:before="240" w:after="0"/>
        <w:jc w:val="left"/>
        <w:rPr>
          <w:rFonts w:ascii="Times New Roman" w:hAnsi="Times New Roman"/>
          <w:sz w:val="20"/>
        </w:rPr>
      </w:pPr>
      <w:r>
        <w:rPr>
          <w:rFonts w:ascii="Times New Roman" w:hAnsi="Times New Roman"/>
          <w:sz w:val="20"/>
        </w:rPr>
        <w:t xml:space="preserve">If a quorum shall fail to attend any meeting, the chairman of the meeting or the holders of a majority of the shares of stock entitled to vote who are present, in person or by proxy, may adjourn the meeting to another place, if any, date, or time.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Such person as the Board of Directors may have designated or, in the absence of such a person, the President of the Corporation or, in his or her absence, such person as may be chosen by the holders of a majority of the voting power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Proxies and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w:t>
      </w:r>
      <w:r>
        <w:rPr>
          <w:rFonts w:ascii="Times New Roman" w:hAnsi="Times New Roman"/>
          <w:i/>
          <w:sz w:val="20"/>
        </w:rPr>
        <w:t>provided</w:t>
      </w:r>
      <w:r>
        <w:rPr>
          <w:rFonts w:ascii="Times New Roman" w:hAnsi="Times New Roman"/>
          <w:sz w:val="20"/>
        </w:rPr>
        <w:t xml:space="preserve"> that such copy, facsimile telecommunication or other reproduction shall be a complete reproduction of the entire original writing or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All elections shall be determined by a plurality of the votes cast, and except as otherwise required by law, all other matters shall be determined by a majority of the votes cast affirmatively or negatively.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Stock List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 who has charge of the stock ledger of the Corporation shall, at least 10 days before every meeting of stockholders, prepare and make a complete list of stockholders entitled to vote at any meeting of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the record date for determining the stockholders entitled to vote is less than 10 days before the meeting date, the list shall reflect the stockholders entitled to vote as of the 10th day before the meeting date, arranged in alphabetical order and showing the address of each such stockholder and the number of shares registered in his or her name. Such list shall be open to the examination of any stockholder for a period of at least 10 days prior to the meeting in the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Consent of Stockholders in Lieu of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written consent shall bear the date of signature of each stockholder who signs the consent, and no written consent shall be effective to take the corporate action referred to therein unless, within 60 days of the earliest dated consent delivered to the Corporation, a written consent or consents signed by a sufficient number of holders to take action are delivered to the Corporation in the manner prescribed in the first paragraph of this Section. 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Any copy, facsimile or other reliable reproduction of a consent in writing may be substituted or used in lieu of the original writing for any and all purposes for which the original writing could be used, </w:t>
      </w:r>
      <w:r>
        <w:rPr>
          <w:rFonts w:ascii="Times New Roman" w:hAnsi="Times New Roman"/>
          <w:i/>
          <w:sz w:val="20"/>
        </w:rPr>
        <w:t>provided that</w:t>
      </w:r>
      <w:r>
        <w:rPr>
          <w:rFonts w:ascii="Times New Roman" w:hAnsi="Times New Roman"/>
          <w:sz w:val="20"/>
        </w:rPr>
        <w:t xml:space="preserve"> such copy, facsimile or other reproduction shall be a complete reproduction of the entire original writing.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Number and Term of Office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directors who shall constitute the whole Board of Directors shall be such number as the Board of Directors shall from time to time have designated. Each director shall be elected for a term of one year and until his or her successor is elected and qualified, except as otherwise provided herein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 then in office unless, at the time of such decrease, there shall be vacancies on the board which are being eliminated by the decrease.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Removal of Directors; Resignation</w:t>
      </w:r>
      <w:r>
        <w:rPr>
          <w:rFonts w:ascii="Times New Roman" w:hAnsi="Times New Roman"/>
          <w:sz w:val="20"/>
        </w:rPr>
        <w:t xml:space="preserve"> Unless otherwise provided by the Certificate of Incorporation or these bylaws, any director or the entire Board of Directors may be removed, with or without cause, by the holders of a majority of shares entitled to vote at an election of directors. Any director may resign at any time upon notice given in writing or by electronic transmission to the Corporation. Such resignation shall be effective upon receipt unless it is specified to be effective at some other time or upon the happening of some other event.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Vacancies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Corporations Certificate of Incorporation, as it may be amended, 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Regular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Regular meetings of the Board of Directors shall be held at such place or places, on such date or dates, and at such time or times as shall have been established by the Board of Directors and publicized among all directors. A notice of each regular meeting shall not be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Special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of Directors may be called by one-third of the directors then in office (rounded up to the nearest whole number) or by the Chief Executive Officer, if one is elected, or, if there is no Chief Executive Officer, the President, and shall be held at such place, on such date, and at such time as they or he or she shall fix. Notice of the place, date, and time of each such special meeting shall be given to each director by whom it is not waived by mailing written notice not less than five days before the meeting or by telegraphing or telexing or by facsimile or electronic transmission of the same not less than 24 hours before the meeting. Unless otherwise indicated in the notice thereof, any and all business may be transacted at a special meeting. A meeting may be held at any time without notice if all the directors are present (except as otherwise provided by law) or if those not present waive notice of the meeting in writing, either before or after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Quorum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meeting of the Board of Directors, the greater of (a) a majority of the directors then in office at the time quorum is to be determined and (b) one-third of the total number of directors fixed pursuant to </w:t>
      </w:r>
      <w:r>
        <w:rPr>
          <w:rFonts w:ascii="Times New Roman" w:hAnsi="Times New Roman"/>
          <w:sz w:val="20"/>
          <w:u w:val="single"/>
        </w:rPr>
        <w:t>Section 1</w:t>
      </w:r>
      <w:r>
        <w:rPr>
          <w:rFonts w:ascii="Times New Roman" w:hAnsi="Times New Roman"/>
          <w:sz w:val="20"/>
        </w:rPr>
        <w:t xml:space="preserve"> of </w:t>
      </w:r>
      <w:r>
        <w:rPr>
          <w:rFonts w:ascii="Times New Roman" w:hAnsi="Times New Roman"/>
          <w:sz w:val="20"/>
          <w:u w:val="single"/>
        </w:rPr>
        <w:t>Article II</w:t>
      </w:r>
      <w:r>
        <w:rPr>
          <w:rFonts w:ascii="Times New Roman" w:hAnsi="Times New Roman"/>
          <w:sz w:val="20"/>
        </w:rPr>
        <w:t xml:space="preserve"> of these Bylaws shall constitute a quorum for the transaction of business. Less than a quorum may adjourn any meeting from time to time, and the meeting may be held as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Participation in Meetings By Conference Telephone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Compensation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Directors, as such, may receive, pursuant to resolution of the Board of Directors, fixed fees and other compensation for their services as directors, including, without limitation, their services as members of committees of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Committees of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may determine the procedural rules for meeting and conducting its business and shall act in accordance therewith, except as otherwise provided herein or required by law. Adequate provision shall be made for notice to members of all meetings; one-third of the members shall constitute a quorum unless the committee shall consist of one or two members, in which event one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will be chosen by the Board of Directors and will consist of a President, a Secretary, a Treasurer and such other officers, including, without limitation, a Chief Executive Officer and one or more Vice Presidents,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Chief Executive Officer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President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these Bylaws and to the direction of the Board of Directors, the President shall have the responsibility for the general management and control of the business and affairs of the Corporation and shall perform all duties and have all powers which are commonly incident to the office of President or which are delegated to him or her by the Board of Directors. He or she shall have power to sign all stock certificates, contracts and other instruments of the Corporation which are authorized and shall have general supervision and direction of all of the other officers, employees and agents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Vice President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Vice President shall have such powers and duties as may be delegated to him or her by the Board of Directors. One Vice President shall be designated by the Board of Directors to perform the duties and exercise the powers of the President in the event of the Presidents absence or disability.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Treasurer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Secretary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Chairman of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Delegation of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from time to time delegate the powers or duties of any officer to any other officers or agents, notwithstanding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Removal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officer of the Corporation may be removed at any time, with or without cause,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Action with Respect to Securities of Other Corporations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Corporation shall be represented by certificates, </w:t>
      </w:r>
      <w:r>
        <w:rPr>
          <w:rFonts w:ascii="Times New Roman" w:hAnsi="Times New Roman"/>
          <w:i/>
          <w:sz w:val="20"/>
        </w:rPr>
        <w:t>provided that</w:t>
      </w:r>
      <w:r>
        <w:rPr>
          <w:rFonts w:ascii="Times New Roman" w:hAnsi="Times New Roman"/>
          <w:sz w:val="20"/>
        </w:rPr>
        <w:t xml:space="preserve"> the Board may provide by resolution or resolutions that some or all of any or all classes or series of its stock shall be uncertificated shares. Any such resolution shall not apply to shares represented by a certificate until such certificate is surrendered to the Corporation. Each holder of stock represented by certificates shall be entitled to a certificate signed by, or in the name of the Corporation, by any two of the President, a Vice President, the Secretary, an Assistant Secretary, the Treasurer, an Assistant Treasurer or any other authorized officers of the Corporation, certifying the number of shares owned by him or her. Any or all of the signatures on the certificate may be by facsimile.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Transfers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Transfers of stock shall be made only upon the transfer books of the Corporation kept at an office of the Corporation or by transfer agents designated to transfer shares of the stock of the Corporation. Except where a certificate is issued in accordance with </w:t>
      </w:r>
      <w:r>
        <w:rPr>
          <w:rFonts w:ascii="Times New Roman" w:hAnsi="Times New Roman"/>
          <w:sz w:val="20"/>
          <w:u w:val="single"/>
        </w:rPr>
        <w:t>Section 4</w:t>
      </w:r>
      <w:r>
        <w:rPr>
          <w:rFonts w:ascii="Times New Roman" w:hAnsi="Times New Roman"/>
          <w:sz w:val="20"/>
        </w:rPr>
        <w:t xml:space="preserve"> of </w:t>
      </w:r>
      <w:r>
        <w:rPr>
          <w:rFonts w:ascii="Times New Roman" w:hAnsi="Times New Roman"/>
          <w:sz w:val="20"/>
          <w:u w:val="single"/>
        </w:rPr>
        <w:t>Article V</w:t>
      </w:r>
      <w:r>
        <w:rPr>
          <w:rFonts w:ascii="Times New Roman" w:hAnsi="Times New Roman"/>
          <w:sz w:val="20"/>
        </w:rPr>
        <w:t xml:space="preserve"> of these Bylaws, an outstanding certificate, if one has been issued, for the number of shares involved shall be surrendered for cancellation before a new certificate, if any, is issued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hAnsi="Times New Roman"/>
          <w:sz w:val="20"/>
          <w:u w:val="single"/>
        </w:rPr>
        <w:t>Section 3</w:t>
      </w:r>
      <w:r>
        <w:rPr>
          <w:rFonts w:ascii="Times New Roman" w:hAnsi="Times New Roman"/>
          <w:sz w:val="20"/>
        </w:rPr>
        <w:t xml:space="preserve">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shall not precede the date upon which the resolution fixing the record date is adopted by the Board of Directors, and which record date shall be not more than ten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 action taken or proposed to be taken is delivered to the Corporation in the manner prescribed by </w:t>
      </w:r>
      <w:r>
        <w:rPr>
          <w:rFonts w:ascii="Times New Roman" w:hAnsi="Times New Roman"/>
          <w:sz w:val="20"/>
          <w:u w:val="single"/>
        </w:rPr>
        <w:t>Section 9</w:t>
      </w:r>
      <w:r>
        <w:rPr>
          <w:rFonts w:ascii="Times New Roman" w:hAnsi="Times New Roman"/>
          <w:sz w:val="20"/>
        </w:rPr>
        <w:t xml:space="preserve"> of </w:t>
      </w:r>
      <w:r>
        <w:rPr>
          <w:rFonts w:ascii="Times New Roman" w:hAnsi="Times New Roman"/>
          <w:sz w:val="20"/>
          <w:u w:val="single"/>
        </w:rPr>
        <w:t>Article I</w:t>
      </w:r>
      <w:r>
        <w:rPr>
          <w:rFonts w:ascii="Times New Roman" w:hAnsi="Times New Roman"/>
          <w:sz w:val="20"/>
        </w:rPr>
        <w:t xml:space="preserve">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Lost, Stolen or Destroyed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Regulations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 transfer, conversion and registration of certificates of stock shall be governed by such other regulations as the Board of Directors may establish.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RESTRICTION ON TRANSFERS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Transfer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Before any holder (</w:t>
      </w:r>
      <w:r>
        <w:rPr>
          <w:rFonts w:ascii="Times New Roman" w:hAnsi="Times New Roman"/>
          <w:b/>
          <w:sz w:val="20"/>
        </w:rPr>
        <w:t>Stockholder</w:t>
      </w:r>
      <w:r>
        <w:rPr>
          <w:rFonts w:ascii="Times New Roman" w:hAnsi="Times New Roman"/>
          <w:sz w:val="20"/>
        </w:rPr>
        <w:t>) of shares of common stock of the Corporation (</w:t>
      </w:r>
      <w:r>
        <w:rPr>
          <w:rFonts w:ascii="Times New Roman" w:hAnsi="Times New Roman"/>
          <w:b/>
          <w:sz w:val="20"/>
        </w:rPr>
        <w:t>Shares</w:t>
      </w:r>
      <w:r>
        <w:rPr>
          <w:rFonts w:ascii="Times New Roman" w:hAnsi="Times New Roman"/>
          <w:sz w:val="20"/>
        </w:rPr>
        <w:t>) may Transfer (as such term is defined below) Shares (or any interest therein) to another prospective holder, such Stockholder must obtain the prior written consent of the Corporation upon resolutions duly approved by the Board of Directors, which consent may be withheld in its sole discretion. </w:t>
      </w:r>
      <w:r>
        <w:rPr>
          <w:rFonts w:ascii="Times New Roman" w:hAnsi="Times New Roman"/>
          <w:b/>
          <w:sz w:val="20"/>
        </w:rPr>
        <w:t>Transfer</w:t>
      </w:r>
      <w:r>
        <w:rPr>
          <w:rFonts w:ascii="Times New Roman" w:hAnsi="Times New Roman"/>
          <w:sz w:val="20"/>
        </w:rPr>
        <w:t> shall mean with respect to any security, the direct or indirect assignment, sale, transfer, tender, pledge, hypothecation, or the grant, creation or suffrage of a lien or encumbrance in or upon, or the gift, placement in trust, or the Constructive Sale (as such term is defined below) or other disposition of such security (including transfer by testamentary or intestate succession, merger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r>
        <w:rPr>
          <w:rFonts w:ascii="Times New Roman" w:hAnsi="Times New Roman"/>
          <w:b/>
          <w:sz w:val="20"/>
        </w:rPr>
        <w:t>Constructive Sale</w:t>
      </w:r>
      <w:r>
        <w:rPr>
          <w:rFonts w:ascii="Times New Roman" w:hAnsi="Times New Roman"/>
          <w:sz w:val="20"/>
        </w:rPr>
        <w:t xml:space="preserve"> shall mean,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materially changing the economic benefits and risks of ownership. Any purported Transfer of any Shares of the Corporations stock effected in violation of this section shall be null and void and shall have no force or effect and the Corporation shall not register any such purported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Exceptions for Certain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provisions of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Section 1</w:t>
      </w:r>
      <w:r>
        <w:rPr>
          <w:rFonts w:ascii="Times New Roman" w:hAnsi="Times New Roman"/>
          <w:sz w:val="20"/>
        </w:rPr>
        <w:t xml:space="preserve"> shall not apply to the following transactions: </w:t>
      </w:r>
    </w:p>
    <w:p>
      <w:pPr>
        <w:pStyle w:val="TextBody"/>
        <w:bidi w:val="0"/>
        <w:spacing w:before="240" w:after="0"/>
        <w:jc w:val="left"/>
        <w:rPr>
          <w:rFonts w:ascii="Times New Roman" w:hAnsi="Times New Roman"/>
          <w:sz w:val="20"/>
        </w:rPr>
      </w:pPr>
      <w:r>
        <w:rPr>
          <w:rFonts w:ascii="Times New Roman" w:hAnsi="Times New Roman"/>
          <w:sz w:val="20"/>
        </w:rPr>
        <w:t>(a) in the case of a Stockholder who is an individual, the transfer without consideration of any Shares made for bona fide estate planning purposes, either during a Stockholders lifetime or on death by will or intestacy to (i) his or her spouse or Spousal Equivalent, child (natural or adopted), sibling, or any other direct lineal antecedent or descendant of such Stockholder (or his or her spouse or Spousal Equivalent) (all of the foregoing collectively referred to as </w:t>
      </w:r>
      <w:r>
        <w:rPr>
          <w:rFonts w:ascii="Times New Roman" w:hAnsi="Times New Roman"/>
          <w:b/>
          <w:sz w:val="20"/>
        </w:rPr>
        <w:t>family members</w:t>
      </w:r>
      <w:r>
        <w:rPr>
          <w:rFonts w:ascii="Times New Roman" w:hAnsi="Times New Roman"/>
          <w:sz w:val="20"/>
        </w:rPr>
        <w:t xml:space="preserve">), or any other relative approved by the Corporation upon resolutions duly approved by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Directors or (ii) any custodian or trustee of any trust, partnership or limited liability company solely for the benefit of, or the ownership interests of which are owned wholly by, such Stockholder or any such family members. </w:t>
      </w:r>
      <w:r>
        <w:rPr>
          <w:rFonts w:ascii="Times New Roman" w:hAnsi="Times New Roman"/>
          <w:b/>
          <w:sz w:val="20"/>
        </w:rPr>
        <w:t>Spousal Equivalent</w:t>
      </w:r>
      <w:r>
        <w:rPr>
          <w:rFonts w:ascii="Times New Roman" w:hAnsi="Times New Roman"/>
          <w:sz w:val="20"/>
        </w:rPr>
        <w:t> as used herein shall mean an individual who is registered with any state governmental entity as a domestic partner of the relevant person to whom such individual may be a Spousal Equivalent (a </w:t>
      </w:r>
      <w:r>
        <w:rPr>
          <w:rFonts w:ascii="Times New Roman" w:hAnsi="Times New Roman"/>
          <w:b/>
          <w:sz w:val="20"/>
        </w:rPr>
        <w:t>Registered Domestic Partner</w:t>
      </w:r>
      <w:r>
        <w:rPr>
          <w:rFonts w:ascii="Times New Roman" w:hAnsi="Times New Roman"/>
          <w:sz w:val="20"/>
        </w:rPr>
        <w:t xml:space="preserve">) or who (i) irrespective of whether or not the relevant person to whom such individual may be a Spousal Equivalent and the Spousal Equivalent are the same sex, was the sole spousal equivalent of the other for the last twelve (12) months, (ii) intended to remain so indefinitely, (iii) was not married to anyone else nor a Registered Domestic Partner with anyone else, (iv) was at least 18 years of age and mentally competent to consent to contract, (v) was not related by blood to a degree of closeness that which would prohibit legal marriage in the state in which they legally reside, (vi) was jointly responsible for the others common welfare and financial obligations, and (vii) resided with the other in the same residence for the last twelve (12) months and intends to do so indefinitely;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a Stockholder that is an entity, the transfer without consideration of any Shares by a Stockholder to its stockholders, members, partners, other equity holders, or affiliates; or </w:t>
      </w:r>
    </w:p>
    <w:p>
      <w:pPr>
        <w:pStyle w:val="TextBody"/>
        <w:bidi w:val="0"/>
        <w:spacing w:before="240" w:after="0"/>
        <w:jc w:val="left"/>
        <w:rPr>
          <w:rFonts w:ascii="Times New Roman" w:hAnsi="Times New Roman"/>
          <w:sz w:val="20"/>
        </w:rPr>
      </w:pPr>
      <w:r>
        <w:rPr>
          <w:rFonts w:ascii="Times New Roman" w:hAnsi="Times New Roman"/>
          <w:sz w:val="20"/>
        </w:rPr>
        <w:t xml:space="preserve">(c) any Transfer of Shares issuable or issued upon the conversion of shares of preferred stock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Subsequent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transfer consented to by the Corporation or described in </w:t>
      </w:r>
      <w:r>
        <w:rPr>
          <w:rFonts w:ascii="Times New Roman" w:hAnsi="Times New Roman"/>
          <w:sz w:val="20"/>
          <w:u w:val="single"/>
        </w:rPr>
        <w:t>Section 2</w:t>
      </w:r>
      <w:r>
        <w:rPr>
          <w:rFonts w:ascii="Times New Roman" w:hAnsi="Times New Roman"/>
          <w:sz w:val="20"/>
        </w:rPr>
        <w:t xml:space="preserve"> above or otherwise, the transferee, assignee, or other recipient shall receive and hold the Shares subject to the provisions of this </w:t>
      </w:r>
      <w:r>
        <w:rPr>
          <w:rFonts w:ascii="Times New Roman" w:hAnsi="Times New Roman"/>
          <w:sz w:val="20"/>
          <w:u w:val="single"/>
        </w:rPr>
        <w:t>Article VI</w:t>
      </w:r>
      <w:r>
        <w:rPr>
          <w:rFonts w:ascii="Times New Roman" w:hAnsi="Times New Roman"/>
          <w:sz w:val="20"/>
        </w:rPr>
        <w:t xml:space="preserve">, and there shall be no further transfer of such stock except in accordance with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and </w:t>
      </w:r>
      <w:r>
        <w:rPr>
          <w:rFonts w:ascii="Times New Roman" w:hAnsi="Times New Roman"/>
          <w:sz w:val="20"/>
          <w:u w:val="single"/>
        </w:rPr>
        <w:t>3</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Termination of Restriction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w:t>
      </w:r>
      <w:r>
        <w:rPr>
          <w:rFonts w:ascii="Times New Roman" w:hAnsi="Times New Roman"/>
          <w:sz w:val="20"/>
          <w:u w:val="single"/>
        </w:rPr>
        <w:t>Section 1</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shall terminate upon the earlier to occur of (i) the closing of a Sale Event (as defined below); or (ii) the first sale of common stock of the Corporation to the general public pursuant to a registration statement filed with and declared effective by the Securities and Exchange Commission under the Securities Act of 1933, as amended (the </w:t>
      </w:r>
      <w:r>
        <w:rPr>
          <w:rFonts w:ascii="Times New Roman" w:hAnsi="Times New Roman"/>
          <w:b/>
          <w:sz w:val="20"/>
        </w:rPr>
        <w:t>Securities Act</w:t>
      </w:r>
      <w:r>
        <w:rPr>
          <w:rFonts w:ascii="Times New Roman" w:hAnsi="Times New Roman"/>
          <w:sz w:val="20"/>
        </w:rPr>
        <w:t xml:space="preserve">). Upon termination of such restrictions, a new certificate or certificates representing the Shares not repurchased shall be issued, on request, without the legend referred to below and delivered to each Stockholder. </w:t>
      </w:r>
    </w:p>
    <w:p>
      <w:pPr>
        <w:pStyle w:val="TextBody"/>
        <w:bidi w:val="0"/>
        <w:spacing w:before="240" w:after="0"/>
        <w:jc w:val="left"/>
        <w:rPr>
          <w:rFonts w:ascii="Times New Roman" w:hAnsi="Times New Roman"/>
          <w:sz w:val="20"/>
        </w:rPr>
      </w:pPr>
      <w:r>
        <w:rPr>
          <w:rFonts w:ascii="Times New Roman" w:hAnsi="Times New Roman"/>
          <w:sz w:val="20"/>
        </w:rPr>
        <w:t>For purposes of these bylaws, </w:t>
      </w:r>
      <w:r>
        <w:rPr>
          <w:rFonts w:ascii="Times New Roman" w:hAnsi="Times New Roman"/>
          <w:b/>
          <w:sz w:val="20"/>
        </w:rPr>
        <w:t>Sale Event</w:t>
      </w:r>
      <w:r>
        <w:rPr>
          <w:rFonts w:ascii="Times New Roman" w:hAnsi="Times New Roman"/>
          <w:sz w:val="20"/>
        </w:rPr>
        <w:t xml:space="preserve"> means the consummation of (i) the dissolution or liquidation of the Corporation, (ii) the sale of all or substantially all of the assets of the Corporation on a consolidated basis to an unrelated person or entity, (iii) a merger, reorganization or consolidation pursuant to which the holders of the Corporations outstanding voting power immediately prior to such transaction do not own a majority of the outstanding voting power of the surviving or resulting entity (or its ultimate parent, if applicable), (iv) the acquisition of all or a majority of the outstanding voting stock of the Corporation in a single transaction or a series of related transactions by a Person or group of Persons, or (v)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acquisition of the business of the Corporation, as determined by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Corporations Initial Public Offering, any subsequent public offering or another capital-raising event, or a merger effected solely to change the Corporations domicile shall not constitute a </w:t>
      </w:r>
      <w:r>
        <w:rPr>
          <w:rFonts w:ascii="Times New Roman" w:hAnsi="Times New Roman"/>
          <w:b/>
          <w:sz w:val="20"/>
        </w:rPr>
        <w:t>Sale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shall mean any individual, corporation, partnership (limited or general), limited liability company, limited liability partnership, association, trust, joint venture, unincorporated organization or any similar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Initial Public Offering</w:t>
      </w:r>
      <w:r>
        <w:rPr>
          <w:rFonts w:ascii="Times New Roman" w:hAnsi="Times New Roman"/>
          <w:sz w:val="20"/>
        </w:rPr>
        <w:t xml:space="preserve"> means the consummation of the first firm commitment underwritten public offering pursuant to an effective registration statement under the Securities Act covering the offer and sale by the Corporation of its equity securities, as a result of or following which the Shares shall be publicly held.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Legend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or certificates representing the Shares shall bear the following legend (as well as any legends required by applicable state and federal corporate and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RESTRICTIONS ON TRANSFER CONTAINED IN THE BYLAWS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w:t>
      </w:r>
      <w:r>
        <w:rPr>
          <w:rFonts w:ascii="Times New Roman" w:hAnsi="Times New Roman"/>
          <w:sz w:val="20"/>
          <w:u w:val="single"/>
        </w:rPr>
        <w:t>Section 1</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may be waived, with respect to any transaction subject thereto, by the Corporation upon resolutions duly approved by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shall continue to apply to the Shares subsequent to such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Facsimile 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provisions for use of facsimile signatures elsewhere specifically authorized in these Bylaws, facsimile signatures of any officer or officers of the Corporation may be used whenever and as authorized by the Board of Directors or a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Corporate Seal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Reliance upon Books, Reports and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Fiscal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be as fixed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Offices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also have offices at such other places both within and without the State of Delaware as the Board of Directors may from time to time determine or the business of the Corporation may require.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Records and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application and requirements of Section 1501 of the California General Corporation Law are hereby expressly waived to the fullest extent permitted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Time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Right to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Each person who was or is made a party to or is threatened to be made a party to or is otherwise involved in any action, suit or proceeding, whether civil, criminal, administrative or investigative (hereinafter a </w:t>
      </w:r>
      <w:r>
        <w:rPr>
          <w:rFonts w:ascii="Times New Roman" w:hAnsi="Times New Roman"/>
          <w:b/>
          <w:sz w:val="20"/>
        </w:rPr>
        <w:t>proceeding</w:t>
      </w:r>
      <w:r>
        <w:rPr>
          <w:rFonts w:ascii="Times New Roman" w:hAnsi="Times New Roman"/>
          <w:sz w:val="20"/>
        </w:rPr>
        <w:t>),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w:t>
      </w:r>
      <w:r>
        <w:rPr>
          <w:rFonts w:ascii="Times New Roman" w:hAnsi="Times New Roman"/>
          <w:b/>
          <w:sz w:val="20"/>
        </w:rPr>
        <w:t>indemnitee</w:t>
      </w:r>
      <w:r>
        <w:rPr>
          <w:rFonts w:ascii="Times New Roman" w:hAnsi="Times New Roman"/>
          <w:sz w:val="20"/>
        </w:rPr>
        <w:t xml:space="preserve">), whether the basis of such proceeding is alleged action in an official capacity as a director, officer or trustee, or in any other capacity while serving as a director, officer or trustee, shall be indemnified and held harmless by the Corporation to the fullest extent permitted by Delaware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provided in </w:t>
      </w:r>
      <w:r>
        <w:rPr>
          <w:rFonts w:ascii="Times New Roman" w:hAnsi="Times New Roman"/>
          <w:sz w:val="20"/>
          <w:u w:val="single"/>
        </w:rPr>
        <w:t>Section 3</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Right to Advancement of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right to indemnification conferred in </w:t>
      </w:r>
      <w:r>
        <w:rPr>
          <w:rFonts w:ascii="Times New Roman" w:hAnsi="Times New Roman"/>
          <w:sz w:val="20"/>
          <w:u w:val="single"/>
        </w:rPr>
        <w:t>Section 1</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an indemnitee shall also have the right to be paid by the Corporation the expenses (including attorneys fees) incurred in defending any such proceeding in advance of its final disposition (hereinafter an </w:t>
      </w:r>
      <w:r>
        <w:rPr>
          <w:rFonts w:ascii="Times New Roman" w:hAnsi="Times New Roman"/>
          <w:b/>
          <w:sz w:val="20"/>
        </w:rPr>
        <w:t>advancement of expenses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hAnsi="Times New Roman"/>
          <w:b/>
          <w:sz w:val="20"/>
        </w:rPr>
        <w:t>undertaking</w:t>
      </w:r>
      <w:r>
        <w:rPr>
          <w:rFonts w:ascii="Times New Roman" w:hAnsi="Times New Roman"/>
          <w:sz w:val="20"/>
        </w:rPr>
        <w:t>), by or on behalf of such indemnitee, to repay all amounts so advanced if it shall ultimately be determined by final judicial decision from which there is no further right to appeal (hereinafter a </w:t>
      </w:r>
      <w:r>
        <w:rPr>
          <w:rFonts w:ascii="Times New Roman" w:hAnsi="Times New Roman"/>
          <w:b/>
          <w:sz w:val="20"/>
        </w:rPr>
        <w:t>final adjudication</w:t>
      </w:r>
      <w:r>
        <w:rPr>
          <w:rFonts w:ascii="Times New Roman" w:hAnsi="Times New Roman"/>
          <w:sz w:val="20"/>
        </w:rPr>
        <w:t xml:space="preserve">) that such indemnitee is not entitled to be indemnified for such expenses under this </w:t>
      </w:r>
      <w:r>
        <w:rPr>
          <w:rFonts w:ascii="Times New Roman" w:hAnsi="Times New Roman"/>
          <w:sz w:val="20"/>
          <w:u w:val="single"/>
        </w:rPr>
        <w:t>Section 2</w:t>
      </w:r>
      <w:r>
        <w:rPr>
          <w:rFonts w:ascii="Times New Roman" w:hAnsi="Times New Roman"/>
          <w:sz w:val="20"/>
        </w:rPr>
        <w:t xml:space="preserv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Right of Indemnitee to Bring Suit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claim under </w:t>
      </w:r>
      <w:r>
        <w:rPr>
          <w:rFonts w:ascii="Times New Roman" w:hAnsi="Times New Roman"/>
          <w:sz w:val="20"/>
          <w:u w:val="single"/>
        </w:rPr>
        <w:t>Section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IX</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Non-Exclusivity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to the advancement of expenses conferred in this </w:t>
      </w:r>
      <w:r>
        <w:rPr>
          <w:rFonts w:ascii="Times New Roman" w:hAnsi="Times New Roman"/>
          <w:sz w:val="20"/>
          <w:u w:val="single"/>
        </w:rPr>
        <w:t>Article IX</w:t>
      </w:r>
      <w:r>
        <w:rPr>
          <w:rFonts w:ascii="Times New Roman" w:hAnsi="Times New Roman"/>
          <w:sz w:val="20"/>
        </w:rPr>
        <w:t xml:space="preserve"> shall not be exclusive of any other right which any person may have or hereafter acquire under any statute, the Corporations Certificate of Incorporation,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Indemnification of Employees and Agents of the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to the extent authorized from time to time by the Board of Directors, grant rights to indemnification and to the advancement of expenses to any employee or agent of the Corporation to the fullest extent of the provisions of this </w:t>
      </w:r>
      <w:r>
        <w:rPr>
          <w:rFonts w:ascii="Times New Roman" w:hAnsi="Times New Roman"/>
          <w:sz w:val="20"/>
          <w:u w:val="single"/>
        </w:rPr>
        <w:t>Article IX</w:t>
      </w:r>
      <w:r>
        <w:rPr>
          <w:rFonts w:ascii="Times New Roman" w:hAnsi="Times New Roman"/>
          <w:sz w:val="20"/>
        </w:rPr>
        <w:t xml:space="preserve"> with respect to the indemnification and advancement of expenses of directors and officers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Nature of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rights conferred upon indemnitees in this </w:t>
      </w:r>
      <w:r>
        <w:rPr>
          <w:rFonts w:ascii="Times New Roman" w:hAnsi="Times New Roman"/>
          <w:sz w:val="20"/>
          <w:u w:val="single"/>
        </w:rPr>
        <w:t>Article IX</w:t>
      </w:r>
      <w:r>
        <w:rPr>
          <w:rFonts w:ascii="Times New Roman" w:hAnsi="Times New Roman"/>
          <w:sz w:val="20"/>
        </w:rPr>
        <w:t xml:space="preserve"> shall be contract rights and such rights shall continue as to an indemnitee who has ceased to be a director, officer or trustee and shall inure to the benefit of the indemnitees heirs, executors and administrators. Any amendment, alteration or repeal of this </w:t>
      </w:r>
      <w:r>
        <w:rPr>
          <w:rFonts w:ascii="Times New Roman" w:hAnsi="Times New Roman"/>
          <w:sz w:val="20"/>
          <w:u w:val="single"/>
        </w:rPr>
        <w:t>Article IX</w:t>
      </w:r>
      <w:r>
        <w:rPr>
          <w:rFonts w:ascii="Times New Roman" w:hAnsi="Times New Roman"/>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alteration or repeal.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amended or repealed by the Board of Directors at any meeting or by the stockholders at any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SECRETARY OF </w:t>
      </w:r>
    </w:p>
    <w:p>
      <w:pPr>
        <w:pStyle w:val="TextBody"/>
        <w:bidi w:val="0"/>
        <w:spacing w:before="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left"/>
        <w:rPr>
          <w:rFonts w:ascii="Times New Roman" w:hAnsi="Times New Roman"/>
          <w:sz w:val="20"/>
        </w:rPr>
      </w:pPr>
      <w:r>
        <w:rPr>
          <w:rFonts w:ascii="Times New Roman" w:hAnsi="Times New Roman"/>
          <w:sz w:val="20"/>
        </w:rPr>
        <w:t>The undersigned, Michael Tate, hereby certifies that he or she is the duly elected and acting Secretary of Astera Labs, Inc., a Delaware corporation (the </w:t>
      </w:r>
      <w:r>
        <w:rPr>
          <w:rFonts w:ascii="Times New Roman" w:hAnsi="Times New Roman"/>
          <w:b/>
          <w:sz w:val="20"/>
        </w:rPr>
        <w:t>Corporation</w:t>
      </w:r>
      <w:r>
        <w:rPr>
          <w:rFonts w:ascii="Times New Roman" w:hAnsi="Times New Roman"/>
          <w:sz w:val="20"/>
        </w:rPr>
        <w:t xml:space="preserve">), and that the Amended and Restated Bylaws attached hereto constitute the Bylaws of said Corporation as duly adopted by the Board of Directors of the Corporation on April 22, 2022.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hereunto subscribed his or her name on April 22, 2022.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Michael Tate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Michael Tate,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OF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0" w:after="0"/>
        <w:jc w:val="right"/>
        <w:rPr>
          <w:rFonts w:ascii="Times New Roman" w:hAnsi="Times New Roman"/>
          <w:b/>
          <w:sz w:val="20"/>
        </w:rPr>
      </w:pPr>
      <w:bookmarkStart w:id="39" w:name="d285484dex34.htm"/>
      <w:bookmarkStart w:id="40" w:name="ksd285484dex34"/>
      <w:bookmarkEnd w:id="39"/>
      <w:bookmarkEnd w:id="40"/>
      <w:r>
        <w:rPr>
          <w:rFonts w:ascii="Times New Roman" w:hAnsi="Times New Roman"/>
          <w:b/>
          <w:sz w:val="20"/>
        </w:rPr>
        <w:t xml:space="preserve">Exhibit 3.4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center"/>
        <w:rPr>
          <w:rFonts w:ascii="Times New Roman" w:hAnsi="Times New Roman"/>
          <w:sz w:val="20"/>
        </w:rPr>
      </w:pPr>
      <w:r>
        <w:rPr>
          <w:rFonts w:ascii="Times New Roman" w:hAnsi="Times New Roman"/>
          <w:sz w:val="20"/>
        </w:rPr>
        <w:t>(the </w:t>
      </w:r>
      <w:r>
        <w:rPr>
          <w:rFonts w:ascii="Times New Roman" w:hAnsi="Times New Roman"/>
          <w:b/>
          <w:sz w:val="20"/>
        </w:rPr>
        <w:t>Corporation</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Annual Meeting</w:t>
      </w:r>
      <w:r>
        <w:rPr>
          <w:rFonts w:ascii="Times New Roman" w:hAnsi="Times New Roman"/>
          <w:sz w:val="20"/>
        </w:rPr>
        <w:t>. The annual meeting of stockholders (any such meeting being referred to in these Bylaws as an </w:t>
      </w:r>
      <w:r>
        <w:rPr>
          <w:rFonts w:ascii="Times New Roman" w:hAnsi="Times New Roman"/>
          <w:b/>
          <w:sz w:val="20"/>
        </w:rPr>
        <w:t>Annual Meeting</w:t>
      </w:r>
      <w:r>
        <w:rPr>
          <w:rFonts w:ascii="Times New Roman" w:hAnsi="Times New Roman"/>
          <w:sz w:val="20"/>
        </w:rPr>
        <w:t>)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b/>
          <w:sz w:val="20"/>
        </w:rPr>
        <w:t>DGCL</w:t>
      </w:r>
      <w:r>
        <w:rPr>
          <w:rFonts w:ascii="Times New Roman" w:hAnsi="Times New Roman"/>
          <w:sz w:val="20"/>
        </w:rPr>
        <w:t xml:space="preserve">).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Notice of Stockholder Business and Nominations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 Nominations of persons for election to the Board of Directors of the Corporation (the </w:t>
      </w:r>
      <w:r>
        <w:rPr>
          <w:rFonts w:ascii="Times New Roman" w:hAnsi="Times New Roman"/>
          <w:b/>
          <w:sz w:val="20"/>
        </w:rPr>
        <w:t>Board of Directors</w:t>
      </w:r>
      <w:r>
        <w:rPr>
          <w:rFonts w:ascii="Times New Roman" w:hAnsi="Times New Roman"/>
          <w:sz w:val="20"/>
        </w:rPr>
        <w:t>)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hAnsi="Times New Roman"/>
          <w:b/>
          <w:sz w:val="20"/>
        </w:rPr>
        <w:t>Exchange Act</w:t>
      </w:r>
      <w:r>
        <w:rPr>
          <w:rFonts w:ascii="Times New Roman" w:hAnsi="Times New Roman"/>
          <w:sz w:val="20"/>
        </w:rPr>
        <w:t xml:space="preserve">)),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w:t>
      </w:r>
      <w:r>
        <w:rPr>
          <w:rFonts w:ascii="Times New Roman" w:hAnsi="Times New Roman"/>
          <w:b/>
          <w:sz w:val="20"/>
        </w:rPr>
        <w:t>Timely Notice</w:t>
      </w:r>
      <w:r>
        <w:rPr>
          <w:rFonts w:ascii="Times New Roman" w:hAnsi="Times New Roman"/>
          <w:sz w:val="20"/>
        </w:rPr>
        <w:t xml:space="preserv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 </w:t>
      </w:r>
    </w:p>
    <w:p>
      <w:pPr>
        <w:pStyle w:val="TextBody"/>
        <w:bidi w:val="0"/>
        <w:spacing w:before="120" w:after="0"/>
        <w:jc w:val="left"/>
        <w:rPr>
          <w:rFonts w:ascii="Times New Roman" w:hAnsi="Times New Roman"/>
          <w:sz w:val="20"/>
        </w:rPr>
      </w:pPr>
      <w:r>
        <w:rPr>
          <w:rFonts w:ascii="Times New Roman" w:hAnsi="Times New Roman"/>
          <w:sz w:val="20"/>
        </w:rPr>
        <w:t xml:space="preserve">(A)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w:t>
      </w:r>
      <w:r>
        <w:rPr>
          <w:rFonts w:ascii="Times New Roman" w:hAnsi="Times New Roman"/>
          <w:b/>
          <w:sz w:val="20"/>
        </w:rPr>
        <w:t>Voting Commitment</w:t>
      </w:r>
      <w:r>
        <w:rPr>
          <w:rFonts w:ascii="Times New Roman" w:hAnsi="Times New Roman"/>
          <w:sz w:val="20"/>
        </w:rPr>
        <w:t xml:space="preserve">)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appliable law, or that the Board of Directors reasonably determines could be material to a reasonable stockholders understanding of the background, qualifications, experiences,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 </w:t>
      </w:r>
    </w:p>
    <w:p>
      <w:pPr>
        <w:pStyle w:val="TextBody"/>
        <w:bidi w:val="0"/>
        <w:spacing w:before="120" w:after="0"/>
        <w:jc w:val="left"/>
        <w:rPr>
          <w:rFonts w:ascii="Times New Roman" w:hAnsi="Times New Roman"/>
          <w:sz w:val="20"/>
        </w:rPr>
      </w:pPr>
      <w:r>
        <w:rPr>
          <w:rFonts w:ascii="Times New Roman" w:hAnsi="Times New Roman"/>
          <w:sz w:val="20"/>
        </w:rPr>
        <w:t xml:space="preserve">(B)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w:t>
      </w:r>
      <w:r>
        <w:rPr>
          <w:rFonts w:ascii="Times New Roman" w:hAnsi="Times New Roman"/>
          <w:b/>
          <w:sz w:val="20"/>
        </w:rPr>
        <w:t>Responsible Person</w:t>
      </w:r>
      <w:r>
        <w:rPr>
          <w:rFonts w:ascii="Times New Roman" w:hAnsi="Times New Roman"/>
          <w:sz w:val="20"/>
        </w:rPr>
        <w:t>),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w:t>
      </w:r>
      <w:r>
        <w:rPr>
          <w:rFonts w:ascii="Times New Roman" w:hAnsi="Times New Roman"/>
          <w:b/>
          <w:sz w:val="20"/>
        </w:rPr>
        <w:t>Material Ownership Interests</w:t>
      </w:r>
      <w:r>
        <w:rPr>
          <w:rFonts w:ascii="Times New Roman" w:hAnsi="Times New Roman"/>
          <w:sz w:val="20"/>
        </w:rPr>
        <w:t xml:space="preserve">);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shareholders and, to the extent known, the class and number of all shares of the Corporations capital stock owned beneficially or of record by such other stockholder(s) or other beneficial owner(s); and </w:t>
      </w:r>
    </w:p>
    <w:p>
      <w:pPr>
        <w:pStyle w:val="TextBody"/>
        <w:bidi w:val="0"/>
        <w:spacing w:before="120" w:after="0"/>
        <w:jc w:val="left"/>
        <w:rPr>
          <w:rFonts w:ascii="Times New Roman" w:hAnsi="Times New Roman"/>
          <w:sz w:val="20"/>
        </w:rPr>
      </w:pPr>
      <w:r>
        <w:rPr>
          <w:rFonts w:ascii="Times New Roman" w:hAnsi="Times New Roman"/>
          <w:sz w:val="20"/>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w:t>
      </w:r>
      <w:r>
        <w:rPr>
          <w:rFonts w:ascii="Times New Roman" w:hAnsi="Times New Roman"/>
          <w:b/>
          <w:sz w:val="20"/>
        </w:rPr>
        <w:t>Solicitation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 </w:t>
      </w:r>
    </w:p>
    <w:p>
      <w:pPr>
        <w:pStyle w:val="TextBody"/>
        <w:bidi w:val="0"/>
        <w:spacing w:before="120" w:after="0"/>
        <w:jc w:val="left"/>
        <w:rPr>
          <w:rFonts w:ascii="Times New Roman" w:hAnsi="Times New Roman"/>
          <w:sz w:val="20"/>
        </w:rPr>
      </w:pPr>
      <w:r>
        <w:rPr>
          <w:rFonts w:ascii="Times New Roman" w:hAnsi="Times New Roman"/>
          <w:sz w:val="20"/>
        </w:rPr>
        <w:t xml:space="preserve">(6)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Meetings</w:t>
      </w:r>
      <w:r>
        <w:rPr>
          <w:rFonts w:ascii="Times New Roman" w:hAnsi="Times New Roman"/>
          <w:sz w:val="20"/>
        </w:rPr>
        <w:t xml:space="preserve">. Except as otherwise required by statute and subject to the rights, if any, of the holders of any series of Undesignated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Notice of Meetings; Adjournments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 </w:t>
      </w:r>
    </w:p>
    <w:p>
      <w:pPr>
        <w:pStyle w:val="TextBody"/>
        <w:bidi w:val="0"/>
        <w:spacing w:before="120" w:after="0"/>
        <w:jc w:val="left"/>
        <w:rPr>
          <w:rFonts w:ascii="Times New Roman" w:hAnsi="Times New Roman"/>
          <w:sz w:val="20"/>
        </w:rPr>
      </w:pPr>
      <w:r>
        <w:rPr>
          <w:rFonts w:ascii="Times New Roman" w:hAnsi="Times New Roman"/>
          <w:sz w:val="20"/>
        </w:rPr>
        <w:t xml:space="preserve">(b) Notice of all special meetings of stockholders shall be given in the same manner as provided for Annual Meetings, except that the notice of all special meetings shall also state the purpose or purposes for which the meeting has been called. </w:t>
      </w:r>
    </w:p>
    <w:p>
      <w:pPr>
        <w:pStyle w:val="TextBody"/>
        <w:bidi w:val="0"/>
        <w:spacing w:before="120" w:after="0"/>
        <w:jc w:val="left"/>
        <w:rPr>
          <w:rFonts w:ascii="Times New Roman" w:hAnsi="Times New Roman"/>
          <w:sz w:val="20"/>
        </w:rPr>
      </w:pPr>
      <w:r>
        <w:rPr>
          <w:rFonts w:ascii="Times New Roman" w:hAnsi="Times New Roman"/>
          <w:sz w:val="20"/>
        </w:rPr>
        <w:t xml:space="preserve">(c)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 </w:t>
      </w:r>
    </w:p>
    <w:p>
      <w:pPr>
        <w:pStyle w:val="TextBody"/>
        <w:bidi w:val="0"/>
        <w:spacing w:before="120" w:after="0"/>
        <w:jc w:val="left"/>
        <w:rPr>
          <w:rFonts w:ascii="Times New Roman" w:hAnsi="Times New Roman"/>
          <w:sz w:val="20"/>
        </w:rPr>
      </w:pPr>
      <w:r>
        <w:rPr>
          <w:rFonts w:ascii="Times New Roman" w:hAnsi="Times New Roman"/>
          <w:sz w:val="20"/>
        </w:rPr>
        <w:t xml:space="preserve">(d)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hAnsi="Times New Roman"/>
          <w:b/>
          <w:sz w:val="20"/>
        </w:rPr>
        <w:t>Certificate</w:t>
      </w:r>
      <w:r>
        <w:rPr>
          <w:rFonts w:ascii="Times New Roman" w:hAnsi="Times New Roman"/>
          <w:sz w:val="20"/>
        </w:rPr>
        <w:t xml:space="preserve">) or these Bylaws, is entitled to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w:t>
      </w:r>
      <w:r>
        <w:rPr>
          <w:rFonts w:ascii="Times New Roman" w:hAnsi="Times New Roman"/>
          <w:sz w:val="20"/>
        </w:rPr>
        <w:t xml:space="preserve">.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Voting and Proxies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 </w:t>
      </w:r>
    </w:p>
    <w:p>
      <w:pPr>
        <w:pStyle w:val="TextBody"/>
        <w:bidi w:val="0"/>
        <w:spacing w:before="120" w:after="0"/>
        <w:jc w:val="left"/>
        <w:rPr>
          <w:rFonts w:ascii="Times New Roman" w:hAnsi="Times New Roman"/>
          <w:sz w:val="20"/>
        </w:rPr>
      </w:pPr>
      <w:r>
        <w:rPr>
          <w:rFonts w:ascii="Times New Roman" w:hAnsi="Times New Roman"/>
          <w:sz w:val="20"/>
        </w:rPr>
        <w:t xml:space="preserve">(b) Any stockholder directly or indirectly soliciting proxies from other stockholders must use a proxy card color other than white, which shall be reserved for the exclusive use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Action at Meeting</w:t>
      </w:r>
      <w:r>
        <w:rPr>
          <w:rFonts w:ascii="Times New Roman" w:hAnsi="Times New Roman"/>
          <w:sz w:val="20"/>
        </w:rPr>
        <w:t xml:space="preserve">.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Stockholder Lists</w:t>
      </w:r>
      <w:r>
        <w:rPr>
          <w:rFonts w:ascii="Times New Roman" w:hAnsi="Times New Roman"/>
          <w:sz w:val="20"/>
        </w:rPr>
        <w:t xml:space="preserve">. The Corporation shall prepare, no later than the tenth (10th)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Conduct of Meeting</w:t>
      </w:r>
      <w:r>
        <w:rPr>
          <w:rFonts w:ascii="Times New Roman" w:hAnsi="Times New Roman"/>
          <w:sz w:val="20"/>
        </w:rPr>
        <w:t xml:space="preserve">.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Inspectors of Elections</w:t>
      </w:r>
      <w:r>
        <w:rPr>
          <w:rFonts w:ascii="Times New Roman" w:hAnsi="Times New Roman"/>
          <w:sz w:val="20"/>
        </w:rPr>
        <w:t xml:space="preserve">.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Powers</w:t>
      </w:r>
      <w:r>
        <w:rPr>
          <w:rFonts w:ascii="Times New Roman" w:hAnsi="Times New Roman"/>
          <w:sz w:val="20"/>
        </w:rPr>
        <w:t xml:space="preserve">. The business and affairs of the Corporation shall be managed by or under the direction of the Board of Directors, except as otherwise provided by the Certificate or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and Terms</w:t>
      </w:r>
      <w:r>
        <w:rPr>
          <w:rFonts w:ascii="Times New Roman" w:hAnsi="Times New Roman"/>
          <w:sz w:val="20"/>
        </w:rPr>
        <w:t xml:space="preserve">.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director need be a stockholder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Vacancies</w:t>
      </w:r>
      <w:r>
        <w:rPr>
          <w:rFonts w:ascii="Times New Roman" w:hAnsi="Times New Roman"/>
          <w:sz w:val="20"/>
        </w:rPr>
        <w:t xml:space="preserve">. Vacancies in the Board of Directors shall be filled in the manner provided in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Removal</w:t>
      </w:r>
      <w:r>
        <w:rPr>
          <w:rFonts w:ascii="Times New Roman" w:hAnsi="Times New Roman"/>
          <w:sz w:val="20"/>
        </w:rPr>
        <w:t xml:space="preserve">. Directors may be removed from office only in the manner provided in the Certificate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Resignation</w:t>
      </w:r>
      <w:r>
        <w:rPr>
          <w:rFonts w:ascii="Times New Roman" w:hAnsi="Times New Roman"/>
          <w:sz w:val="20"/>
        </w:rPr>
        <w:t xml:space="preserve">. A director may resign at any time by electronic transmission or by giving written notice to the Chairperson of the Board, if one is elected, the Chief Executive Officer, the President or the Secretary. A resignation shall be effective upon receipt, unless the resignation otherwise provides.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Regular Meetings</w:t>
      </w:r>
      <w:r>
        <w:rPr>
          <w:rFonts w:ascii="Times New Roman" w:hAnsi="Times New Roman"/>
          <w:sz w:val="20"/>
        </w:rPr>
        <w:t xml:space="preserve">. Regular meetings of the Board of Directors may be held at such hour, date and place (if any) as the Board of Directors may from time to time determine and publicize by means of reasonable notice given to any director who is not present when such determination is made.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Special Meetings</w:t>
      </w:r>
      <w:r>
        <w:rPr>
          <w:rFonts w:ascii="Times New Roman" w:hAnsi="Times New Roman"/>
          <w:sz w:val="20"/>
        </w:rPr>
        <w:t xml:space="preserve">. Special meetings of the Board of Directors may be called, orally or in writing, by or at the request of a majority of the directors, the Chairperson of the Board, if one is elected, or the Chief Executive Officer or the President. The person calling any such special meeting of the Board of Directors may fix the hour, date and place (if any) thereof. Notice thereof shall be given to each director as provided in Section 9 of this Article II.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Notice of Meetings</w:t>
      </w:r>
      <w:r>
        <w:rPr>
          <w:rFonts w:ascii="Times New Roman" w:hAnsi="Times New Roman"/>
          <w:sz w:val="20"/>
        </w:rPr>
        <w:t xml:space="preserve">.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or the Chief Executive Officer,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Quorum</w:t>
      </w:r>
      <w:r>
        <w:rPr>
          <w:rFonts w:ascii="Times New Roman" w:hAnsi="Times New Roman"/>
          <w:sz w:val="20"/>
        </w:rPr>
        <w:t xml:space="preserve">.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Action at Meeting</w:t>
      </w:r>
      <w:r>
        <w:rPr>
          <w:rFonts w:ascii="Times New Roman" w:hAnsi="Times New Roman"/>
          <w:sz w:val="20"/>
        </w:rPr>
        <w:t xml:space="preserve">. At any meeting of the Board of Directors at which a quorum is present, the affirmative vote of a majority of the directors present shall constitute action by the Board of Directors, unless otherwise required by law, by the Certificate or by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Action by Consent</w:t>
      </w:r>
      <w:r>
        <w:rPr>
          <w:rFonts w:ascii="Times New Roman" w:hAnsi="Times New Roman"/>
          <w:sz w:val="20"/>
        </w:rPr>
        <w:t xml:space="preserve">.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Manner of Participation</w:t>
      </w:r>
      <w:r>
        <w:rPr>
          <w:rFonts w:ascii="Times New Roman" w:hAnsi="Times New Roman"/>
          <w:sz w:val="20"/>
        </w:rPr>
        <w:t xml:space="preserve">.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Presiding Director</w:t>
      </w:r>
      <w:r>
        <w:rPr>
          <w:rFonts w:ascii="Times New Roman" w:hAnsi="Times New Roman"/>
          <w:sz w:val="20"/>
        </w:rPr>
        <w:t xml:space="preserve">.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Committees</w:t>
      </w:r>
      <w:r>
        <w:rPr>
          <w:rFonts w:ascii="Times New Roman" w:hAnsi="Times New Roman"/>
          <w:sz w:val="20"/>
        </w:rPr>
        <w:t xml:space="preserve">.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The Corporation elects to be governed by the provisions of Section 141(c)(2)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Compensation of Directors</w:t>
      </w:r>
      <w:r>
        <w:rPr>
          <w:rFonts w:ascii="Times New Roman" w:hAnsi="Times New Roman"/>
          <w:sz w:val="20"/>
        </w:rPr>
        <w:t xml:space="preserve">.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Emergency Bylaws</w:t>
      </w:r>
      <w:r>
        <w:rPr>
          <w:rFonts w:ascii="Times New Roman" w:hAnsi="Times New Roman"/>
          <w:sz w:val="20"/>
        </w:rPr>
        <w:t>. In the event of any emergency, disaster, catastrophe or other similar emergency condition of a type described in Section 110(a) of the DGCL (an </w:t>
      </w:r>
      <w:r>
        <w:rPr>
          <w:rFonts w:ascii="Times New Roman" w:hAnsi="Times New Roman"/>
          <w:b/>
          <w:sz w:val="20"/>
        </w:rPr>
        <w:t>Emergency</w:t>
      </w:r>
      <w:r>
        <w:rPr>
          <w:rFonts w:ascii="Times New Roman" w:hAnsi="Times New Roman"/>
          <w:sz w:val="20"/>
        </w:rPr>
        <w:t xml:space="preserve">), notwithstanding any different or conflicting provisions in the DGCL, the Certificate or these Bylaws, during such Emergency: </w:t>
      </w:r>
    </w:p>
    <w:p>
      <w:pPr>
        <w:pStyle w:val="TextBody"/>
        <w:bidi w:val="0"/>
        <w:spacing w:before="120" w:after="0"/>
        <w:jc w:val="left"/>
        <w:rPr>
          <w:rFonts w:ascii="Times New Roman" w:hAnsi="Times New Roman"/>
          <w:sz w:val="20"/>
        </w:rPr>
      </w:pPr>
      <w:r>
        <w:rPr>
          <w:rFonts w:ascii="Times New Roman" w:hAnsi="Times New Roman"/>
          <w:sz w:val="20"/>
        </w:rPr>
        <w:t xml:space="preserve">(a)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 </w:t>
      </w:r>
    </w:p>
    <w:p>
      <w:pPr>
        <w:pStyle w:val="TextBody"/>
        <w:bidi w:val="0"/>
        <w:spacing w:before="120" w:after="0"/>
        <w:jc w:val="left"/>
        <w:rPr>
          <w:rFonts w:ascii="Times New Roman" w:hAnsi="Times New Roman"/>
          <w:sz w:val="20"/>
        </w:rPr>
      </w:pPr>
      <w:r>
        <w:rPr>
          <w:rFonts w:ascii="Times New Roman" w:hAnsi="Times New Roman"/>
          <w:sz w:val="20"/>
        </w:rPr>
        <w:t xml:space="preserve">(b) The director or directors in attendance at a meeting called in accordance with Section 17(a) of this Article II shall constitute a quorum. </w:t>
      </w:r>
    </w:p>
    <w:p>
      <w:pPr>
        <w:pStyle w:val="TextBody"/>
        <w:bidi w:val="0"/>
        <w:spacing w:before="120" w:after="0"/>
        <w:jc w:val="left"/>
        <w:rPr>
          <w:rFonts w:ascii="Times New Roman" w:hAnsi="Times New Roman"/>
          <w:sz w:val="20"/>
        </w:rPr>
      </w:pPr>
      <w:r>
        <w:rPr>
          <w:rFonts w:ascii="Times New Roman" w:hAnsi="Times New Roman"/>
          <w:sz w:val="20"/>
        </w:rPr>
        <w:t xml:space="preserve">(c)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Enumeration</w:t>
      </w:r>
      <w:r>
        <w:rPr>
          <w:rFonts w:ascii="Times New Roman" w:hAnsi="Times New Roman"/>
          <w:sz w:val="20"/>
        </w:rPr>
        <w:t xml:space="preserve">. The officers of the Corporation shall consist of a Chief Executive Officer, a President, a Treasurer and a Secretary and such other officers, including, without limitation, a Chairperson of the Board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Election</w:t>
      </w:r>
      <w:r>
        <w:rPr>
          <w:rFonts w:ascii="Times New Roman" w:hAnsi="Times New Roman"/>
          <w:sz w:val="20"/>
        </w:rPr>
        <w:t xml:space="preserve">. The Board of Directors shall elect the Chief Executive Officer, the President, the Treasurer and the Secretary. Other officers may be elected by the Board of Directors or by such officers delegated such authority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Qualification</w:t>
      </w:r>
      <w:r>
        <w:rPr>
          <w:rFonts w:ascii="Times New Roman" w:hAnsi="Times New Roman"/>
          <w:sz w:val="20"/>
        </w:rPr>
        <w:t xml:space="preserve">. No officer need be a stockholder or a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Tenure</w:t>
      </w:r>
      <w:r>
        <w:rPr>
          <w:rFonts w:ascii="Times New Roman" w:hAnsi="Times New Roman"/>
          <w:sz w:val="20"/>
        </w:rPr>
        <w:t xml:space="preserve">. Except as otherwise provided by the Certificate or by these Bylaws, each of the officers of the Corporation shall hold office until his or her successor is elected and qualified or until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Resignation and Removal</w:t>
      </w:r>
      <w:r>
        <w:rPr>
          <w:rFonts w:ascii="Times New Roman" w:hAnsi="Times New Roman"/>
          <w:sz w:val="20"/>
        </w:rPr>
        <w:t xml:space="preserve">. Any officer may resign by delivering his or her written or electronically transmitted resignation to the Corporation addressed to the Chief Executive Officer,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Absence or Disability</w:t>
      </w:r>
      <w:r>
        <w:rPr>
          <w:rFonts w:ascii="Times New Roman" w:hAnsi="Times New Roman"/>
          <w:sz w:val="20"/>
        </w:rPr>
        <w:t xml:space="preserve">. In the event of the absence or disability of any officer, the Board of Directors may designate another officer to act temporarily in place of such absent or disabled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Vacancies</w:t>
      </w:r>
      <w:r>
        <w:rPr>
          <w:rFonts w:ascii="Times New Roman" w:hAnsi="Times New Roman"/>
          <w:sz w:val="20"/>
        </w:rPr>
        <w:t xml:space="preserve">. Any vacancy in any office may be filled for the unexpired portion of the term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Chief Executive Officer</w:t>
      </w:r>
      <w:r>
        <w:rPr>
          <w:rFonts w:ascii="Times New Roman" w:hAnsi="Times New Roman"/>
          <w:sz w:val="20"/>
        </w:rPr>
        <w:t xml:space="preserve">. The Chief Executive Officer, if one is elected, shall have such powers and shall perform such duties as the Board of Directors may from time to time designate. The Chief Executive Officer shall preside as the chair of the meeting at all meetings of the stockholders; provided that if there is no Chief Executive Officer or the Chief Executive Officer is unable to so preside or is absent, then a director or officer chosen by resolution of the Board of Directors shall act as Chairperson at all meetings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President</w:t>
      </w:r>
      <w:r>
        <w:rPr>
          <w:rFonts w:ascii="Times New Roman" w:hAnsi="Times New Roman"/>
          <w:sz w:val="20"/>
        </w:rPr>
        <w:t xml:space="preserve">. The President, if one is elected, shall, subject to the direction of the Board of Directors,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Chairperson of the Board</w:t>
      </w:r>
      <w:r>
        <w:rPr>
          <w:rFonts w:ascii="Times New Roman" w:hAnsi="Times New Roman"/>
          <w:sz w:val="20"/>
        </w:rPr>
        <w:t xml:space="preserve">. The Chairperson of the Board, if one is elected, shall have such powers and shall perform such duties as the Board of Directors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Vice Presidents and Assistant Vice Presidents</w:t>
      </w:r>
      <w:r>
        <w:rPr>
          <w:rFonts w:ascii="Times New Roman" w:hAnsi="Times New Roman"/>
          <w:sz w:val="20"/>
        </w:rPr>
        <w:t xml:space="preserve">. Any Vice President (including any Executive Vice President or Senior Vice President) and any Assistant Vice President shall have such powers and shall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Treasurer and Assistant Treasurers</w:t>
      </w:r>
      <w:r>
        <w:rPr>
          <w:rFonts w:ascii="Times New Roman" w:hAnsi="Times New Roman"/>
          <w:sz w:val="20"/>
        </w:rPr>
        <w:t xml:space="preserve">.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Secretary and Assistant Secretaries</w:t>
      </w:r>
      <w:r>
        <w:rPr>
          <w:rFonts w:ascii="Times New Roman" w:hAnsi="Times New Roman"/>
          <w:sz w:val="20"/>
        </w:rPr>
        <w:t xml:space="preserve">.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Other Powers and Duties</w:t>
      </w:r>
      <w:r>
        <w:rPr>
          <w:rFonts w:ascii="Times New Roman" w:hAnsi="Times New Roman"/>
          <w:sz w:val="20"/>
        </w:rPr>
        <w:t xml:space="preserve">.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Representation of Shares of Other Corporations</w:t>
      </w:r>
      <w:r>
        <w:rPr>
          <w:rFonts w:ascii="Times New Roman" w:hAnsi="Times New Roman"/>
          <w:sz w:val="20"/>
        </w:rPr>
        <w:t xml:space="preserve">. The Chairperson of the Board, the Chief Executive Officer, the President, any Vice President, the Treasurer,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Bonded Officers</w:t>
      </w:r>
      <w:r>
        <w:rPr>
          <w:rFonts w:ascii="Times New Roman" w:hAnsi="Times New Roman"/>
          <w:sz w:val="20"/>
        </w:rPr>
        <w:t xml:space="preserve">.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 of Stock</w:t>
      </w:r>
      <w:r>
        <w:rPr>
          <w:rFonts w:ascii="Times New Roman" w:hAnsi="Times New Roman"/>
          <w:sz w:val="20"/>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Transfers</w:t>
      </w:r>
      <w:r>
        <w:rPr>
          <w:rFonts w:ascii="Times New Roman" w:hAnsi="Times New Roman"/>
          <w:sz w:val="20"/>
        </w:rPr>
        <w:t xml:space="preserve">.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Stock Transfer Agreements</w:t>
      </w:r>
      <w:r>
        <w:rPr>
          <w:rFonts w:ascii="Times New Roman" w:hAnsi="Times New Roman"/>
          <w:sz w:val="20"/>
        </w:rPr>
        <w:t xml:space="preserve">.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Record Holders</w:t>
      </w:r>
      <w:r>
        <w:rPr>
          <w:rFonts w:ascii="Times New Roman" w:hAnsi="Times New Roman"/>
          <w:sz w:val="20"/>
        </w:rPr>
        <w:t xml:space="preserve">.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Record Date</w:t>
      </w:r>
      <w:r>
        <w:rPr>
          <w:rFonts w:ascii="Times New Roman" w:hAnsi="Times New Roman"/>
          <w:sz w:val="20"/>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Replacement of Certificates</w:t>
      </w:r>
      <w:r>
        <w:rPr>
          <w:rFonts w:ascii="Times New Roman" w:hAnsi="Times New Roman"/>
          <w:sz w:val="20"/>
        </w:rPr>
        <w:t xml:space="preserve">. In case of the alleged loss, destruction or mutilation of a certificate of stock of the Corporation, a duplicate certificate may be issued in place thereof, upon such terms as the Board of Directors may prescribe.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xml:space="preserve">. For purposes of this Article V: </w:t>
      </w:r>
    </w:p>
    <w:p>
      <w:pPr>
        <w:pStyle w:val="TextBody"/>
        <w:bidi w:val="0"/>
        <w:spacing w:before="120" w:after="0"/>
        <w:jc w:val="left"/>
        <w:rPr>
          <w:rFonts w:ascii="Times New Roman" w:hAnsi="Times New Roman"/>
          <w:sz w:val="20"/>
        </w:rPr>
      </w:pPr>
      <w:r>
        <w:rPr>
          <w:rFonts w:ascii="Times New Roman" w:hAnsi="Times New Roman"/>
          <w:sz w:val="20"/>
        </w:rPr>
        <w:t xml:space="preserve">(a)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 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(b) Director means any person who serves or has served the Corporation as a director on the Board of Directors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Disinterested Director means, with respect to each Proceeding in respect of which indemnification is sought hereunder, a Director of the Corporation who is not and was not a party to such Proceeding; </w:t>
      </w:r>
    </w:p>
    <w:p>
      <w:pPr>
        <w:pStyle w:val="TextBody"/>
        <w:bidi w:val="0"/>
        <w:spacing w:before="120" w:after="0"/>
        <w:jc w:val="left"/>
        <w:rPr>
          <w:rFonts w:ascii="Times New Roman" w:hAnsi="Times New Roman"/>
          <w:sz w:val="20"/>
        </w:rPr>
      </w:pPr>
      <w:r>
        <w:rPr>
          <w:rFonts w:ascii="Times New Roman" w:hAnsi="Times New Roman"/>
          <w:sz w:val="20"/>
        </w:rPr>
        <w:t xml:space="preserve">(d)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 </w:t>
      </w:r>
    </w:p>
    <w:p>
      <w:pPr>
        <w:pStyle w:val="TextBody"/>
        <w:bidi w:val="0"/>
        <w:spacing w:before="120" w:after="0"/>
        <w:jc w:val="left"/>
        <w:rPr>
          <w:rFonts w:ascii="Times New Roman" w:hAnsi="Times New Roman"/>
          <w:sz w:val="20"/>
        </w:rPr>
      </w:pPr>
      <w:r>
        <w:rPr>
          <w:rFonts w:ascii="Times New Roman" w:hAnsi="Times New Roman"/>
          <w:sz w:val="20"/>
        </w:rPr>
        <w:t xml:space="preserve">(e) Liabilities means judgments, damages, liabilities, losses, penalties, excise taxes, fines and amounts paid in settlement; </w:t>
      </w:r>
    </w:p>
    <w:p>
      <w:pPr>
        <w:pStyle w:val="TextBody"/>
        <w:bidi w:val="0"/>
        <w:spacing w:before="120" w:after="0"/>
        <w:jc w:val="left"/>
        <w:rPr>
          <w:rFonts w:ascii="Times New Roman" w:hAnsi="Times New Roman"/>
          <w:sz w:val="20"/>
        </w:rPr>
      </w:pPr>
      <w:r>
        <w:rPr>
          <w:rFonts w:ascii="Times New Roman" w:hAnsi="Times New Roman"/>
          <w:sz w:val="20"/>
        </w:rPr>
        <w:t xml:space="preserve">(f) Non-Officer Employee means any person who serves or has served as an employee or agent of the Corporation, but who is not or was not a Director or Officer; </w:t>
      </w:r>
    </w:p>
    <w:p>
      <w:pPr>
        <w:pStyle w:val="TextBody"/>
        <w:bidi w:val="0"/>
        <w:spacing w:before="120" w:after="0"/>
        <w:jc w:val="left"/>
        <w:rPr>
          <w:rFonts w:ascii="Times New Roman" w:hAnsi="Times New Roman"/>
          <w:sz w:val="20"/>
        </w:rPr>
      </w:pPr>
      <w:r>
        <w:rPr>
          <w:rFonts w:ascii="Times New Roman" w:hAnsi="Times New Roman"/>
          <w:sz w:val="20"/>
        </w:rPr>
        <w:t xml:space="preserve">(g) Officer means any person who serves or has served the Corporation as an officer of the Corporation appointed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(h) Proceeding means any threatened, pending or completed action, suit, arbitration, alternate dispute resolution mechanism, inquiry, investigation, administrative hearing or other proceeding, whether civil, criminal, administrative, arbitrative or investigative; and </w:t>
      </w:r>
    </w:p>
    <w:p>
      <w:pPr>
        <w:pStyle w:val="TextBody"/>
        <w:bidi w:val="0"/>
        <w:spacing w:before="120" w:after="0"/>
        <w:jc w:val="left"/>
        <w:rPr>
          <w:rFonts w:ascii="Times New Roman" w:hAnsi="Times New Roman"/>
          <w:sz w:val="20"/>
        </w:rPr>
      </w:pPr>
      <w:r>
        <w:rPr>
          <w:rFonts w:ascii="Times New Roman" w:hAnsi="Times New Roman"/>
          <w:sz w:val="20"/>
        </w:rPr>
        <w:t xml:space="preserve">(i)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Indemnification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Actions, Suits and Proceedings Other than By or In the Right of the Corporation</w:t>
      </w:r>
      <w:r>
        <w:rPr>
          <w:rFonts w:ascii="Times New Roman" w:hAnsi="Times New Roman"/>
          <w:sz w:val="20"/>
        </w:rPr>
        <w:t xml:space="preserve">.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Actions, Suits and Proceedings By or In the Right of the Corporation</w:t>
      </w:r>
      <w:r>
        <w:rPr>
          <w:rFonts w:ascii="Times New Roman" w:hAnsi="Times New Roman"/>
          <w:sz w:val="20"/>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Survival of Rights</w:t>
      </w:r>
      <w:r>
        <w:rPr>
          <w:rFonts w:ascii="Times New Roman" w:hAnsi="Times New Roman"/>
          <w:sz w:val="20"/>
        </w:rPr>
        <w:t xml:space="preserve">. The rights of indemnification provided by this Section 2 shall continue as to a Director or Officer after he or she has ceased to be a Director or Officer and shall inure to the benefit of his or her heirs, executors, administrators and personal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Actions by Directors or Officers</w:t>
      </w:r>
      <w:r>
        <w:rPr>
          <w:rFonts w:ascii="Times New Roman" w:hAnsi="Times New Roman"/>
          <w:sz w:val="20"/>
        </w:rPr>
        <w:t xml:space="preserve">.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Indemnification of Non-Officer Employees</w:t>
      </w:r>
      <w:r>
        <w:rPr>
          <w:rFonts w:ascii="Times New Roman" w:hAnsi="Times New Roman"/>
          <w:sz w:val="20"/>
        </w:rPr>
        <w:t xml:space="preserve">.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Determination</w:t>
      </w:r>
      <w:r>
        <w:rPr>
          <w:rFonts w:ascii="Times New Roman" w:hAnsi="Times New Roman"/>
          <w:sz w:val="20"/>
        </w:rPr>
        <w:t xml:space="preserve">.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Advancement of Expenses to Directors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Advancement of Expenses to Officers and Non-Officer Employees Prior to Final Disposition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 </w:t>
      </w:r>
    </w:p>
    <w:p>
      <w:pPr>
        <w:pStyle w:val="TextBody"/>
        <w:bidi w:val="0"/>
        <w:spacing w:before="120" w:after="0"/>
        <w:jc w:val="left"/>
        <w:rPr>
          <w:rFonts w:ascii="Times New Roman" w:hAnsi="Times New Roman"/>
          <w:sz w:val="20"/>
        </w:rPr>
      </w:pPr>
      <w:r>
        <w:rPr>
          <w:rFonts w:ascii="Times New Roman" w:hAnsi="Times New Roman"/>
          <w:sz w:val="20"/>
        </w:rPr>
        <w:t xml:space="preserve">(b)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Contractual Nature of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In any suit brought by a Director or Officer to enforce a right to indemnification hereunder, it shall be a defense that such Director or Officer has not met any applicable standard for indemnification set forth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Non-Exclusivity of Rights</w:t>
      </w:r>
      <w:r>
        <w:rPr>
          <w:rFonts w:ascii="Times New Roman" w:hAnsi="Times New Roman"/>
          <w:sz w:val="20"/>
        </w:rPr>
        <w:t xml:space="preserve">.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Insurance</w:t>
      </w:r>
      <w:r>
        <w:rPr>
          <w:rFonts w:ascii="Times New Roman" w:hAnsi="Times New Roman"/>
          <w:sz w:val="20"/>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Other Indemnification</w:t>
      </w:r>
      <w:r>
        <w:rPr>
          <w:rFonts w:ascii="Times New Roman" w:hAnsi="Times New Roman"/>
          <w:sz w:val="20"/>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hAnsi="Times New Roman"/>
          <w:b/>
          <w:sz w:val="20"/>
        </w:rPr>
        <w:t>Primary Indemnitor</w:t>
      </w:r>
      <w:r>
        <w:rPr>
          <w:rFonts w:ascii="Times New Roman" w:hAnsi="Times New Roman"/>
          <w:sz w:val="20"/>
        </w:rPr>
        <w:t xml:space="preserve">).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Savings Clause</w:t>
      </w:r>
      <w:r>
        <w:rPr>
          <w:rFonts w:ascii="Times New Roman" w:hAnsi="Times New Roman"/>
          <w:sz w:val="20"/>
        </w:rPr>
        <w:t xml:space="preserve">.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ARTICLE VI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Fiscal Year</w:t>
      </w:r>
      <w:r>
        <w:rPr>
          <w:rFonts w:ascii="Times New Roman" w:hAnsi="Times New Roman"/>
          <w:sz w:val="20"/>
        </w:rPr>
        <w:t xml:space="preserve">. The fiscal year of the Corporation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Seal</w:t>
      </w:r>
      <w:r>
        <w:rPr>
          <w:rFonts w:ascii="Times New Roman" w:hAnsi="Times New Roman"/>
          <w:sz w:val="20"/>
        </w:rPr>
        <w:t xml:space="preserve">. The Board of Directors shall have power to adopt and alter the seal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Execution of Instruments</w:t>
      </w:r>
      <w:r>
        <w:rPr>
          <w:rFonts w:ascii="Times New Roman" w:hAnsi="Times New Roman"/>
          <w:sz w:val="20"/>
        </w:rPr>
        <w:t xml:space="preserve">.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Voting of Securities</w:t>
      </w:r>
      <w:r>
        <w:rPr>
          <w:rFonts w:ascii="Times New Roman" w:hAnsi="Times New Roman"/>
          <w:sz w:val="20"/>
        </w:rPr>
        <w:t xml:space="preserve">.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Resident Agent</w:t>
      </w:r>
      <w:r>
        <w:rPr>
          <w:rFonts w:ascii="Times New Roman" w:hAnsi="Times New Roman"/>
          <w:sz w:val="20"/>
        </w:rPr>
        <w:t xml:space="preserve">. The Board of Directors may appoint a resident agent upon whom legal process may be served in any action or proceeding against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Corporate Records</w:t>
      </w:r>
      <w:r>
        <w:rPr>
          <w:rFonts w:ascii="Times New Roman" w:hAnsi="Times New Roman"/>
          <w:sz w:val="20"/>
        </w:rPr>
        <w:t xml:space="preserve">.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Certificate</w:t>
      </w:r>
      <w:r>
        <w:rPr>
          <w:rFonts w:ascii="Times New Roman" w:hAnsi="Times New Roman"/>
          <w:sz w:val="20"/>
        </w:rPr>
        <w:t xml:space="preserve">. All references in these Bylaws to the Certificate shall be deemed to refer to the Certificate, as amended and/or restated and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Exclusive Jurisdiction of Delaware Courts or the United States Federal District Courts</w:t>
      </w:r>
      <w:r>
        <w:rPr>
          <w:rFonts w:ascii="Times New Roman" w:hAnsi="Times New Roman"/>
          <w:sz w:val="20"/>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Amendment of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by Directors</w:t>
      </w:r>
      <w:r>
        <w:rPr>
          <w:rFonts w:ascii="Times New Roman" w:hAnsi="Times New Roman"/>
          <w:sz w:val="20"/>
        </w:rPr>
        <w:t xml:space="preserve">. Except as required by law, these Bylaws may be amended or repealed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Amendment by Stockholders</w:t>
      </w:r>
      <w:r>
        <w:rPr>
          <w:rFonts w:ascii="Times New Roman" w:hAnsi="Times New Roman"/>
          <w:sz w:val="20"/>
        </w:rPr>
        <w:t xml:space="preserve">.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Notices</w:t>
      </w:r>
      <w:r>
        <w:rPr>
          <w:rFonts w:ascii="Times New Roman" w:hAnsi="Times New Roman"/>
          <w:sz w:val="20"/>
        </w:rPr>
        <w:t xml:space="preserve">.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Waivers</w:t>
      </w:r>
      <w:r>
        <w:rPr>
          <w:rFonts w:ascii="Times New Roman" w:hAnsi="Times New Roman"/>
          <w:sz w:val="20"/>
        </w:rPr>
        <w:t xml:space="preserve">.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 </w:t>
      </w:r>
    </w:p>
    <w:p>
      <w:pPr>
        <w:pStyle w:val="TextBody"/>
        <w:bidi w:val="0"/>
        <w:spacing w:before="240" w:after="0"/>
        <w:jc w:val="left"/>
        <w:rPr>
          <w:rFonts w:ascii="Times New Roman" w:hAnsi="Times New Roman"/>
          <w:sz w:val="20"/>
        </w:rPr>
      </w:pPr>
      <w:r>
        <w:rPr>
          <w:rFonts w:ascii="Times New Roman" w:hAnsi="Times New Roman"/>
          <w:sz w:val="20"/>
        </w:rPr>
        <w:t xml:space="preserve">Adopted [___________], 2024 and effective as of [___________],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right"/>
        <w:rPr>
          <w:rFonts w:ascii="Times New Roman" w:hAnsi="Times New Roman"/>
          <w:b/>
          <w:sz w:val="20"/>
        </w:rPr>
      </w:pPr>
      <w:bookmarkStart w:id="41" w:name="d285484dex42.htm"/>
      <w:bookmarkStart w:id="42" w:name="ksd285484dex42"/>
      <w:bookmarkEnd w:id="41"/>
      <w:bookmarkEnd w:id="42"/>
      <w:r>
        <w:rPr>
          <w:rFonts w:ascii="Times New Roman" w:hAnsi="Times New Roman"/>
          <w:b/>
          <w:sz w:val="20"/>
        </w:rPr>
        <w:t xml:space="preserve">Exhibit 4.2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INVESTORS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Investors Rights Agreement (the </w:t>
      </w:r>
      <w:r>
        <w:rPr>
          <w:rFonts w:ascii="Times New Roman" w:hAnsi="Times New Roman"/>
          <w:b/>
          <w:sz w:val="20"/>
          <w:u w:val="single"/>
        </w:rPr>
        <w:t>Agreement</w:t>
      </w:r>
      <w:r>
        <w:rPr>
          <w:rFonts w:ascii="Times New Roman" w:hAnsi="Times New Roman"/>
          <w:sz w:val="20"/>
        </w:rPr>
        <w:t>) is made as of May 17, 2022, by and among Astera Labs, Inc., a Delaware corporation (the </w:t>
      </w:r>
      <w:r>
        <w:rPr>
          <w:rFonts w:ascii="Times New Roman" w:hAnsi="Times New Roman"/>
          <w:b/>
          <w:sz w:val="20"/>
          <w:u w:val="single"/>
        </w:rPr>
        <w:t>Company</w:t>
      </w:r>
      <w:r>
        <w:rPr>
          <w:rFonts w:ascii="Times New Roman" w:hAnsi="Times New Roman"/>
          <w:sz w:val="20"/>
        </w:rPr>
        <w:t xml:space="preserve">), and the investors listed on </w:t>
      </w:r>
      <w:r>
        <w:rPr>
          <w:rFonts w:ascii="Times New Roman" w:hAnsi="Times New Roman"/>
          <w:sz w:val="20"/>
          <w:u w:val="single"/>
        </w:rPr>
        <w:t>Exhibit A</w:t>
      </w:r>
      <w:r>
        <w:rPr>
          <w:rFonts w:ascii="Times New Roman" w:hAnsi="Times New Roman"/>
          <w:sz w:val="20"/>
        </w:rPr>
        <w:t xml:space="preserve"> hereto, each of which is herein referred to as an </w:t>
      </w:r>
      <w:r>
        <w:rPr>
          <w:rFonts w:ascii="Times New Roman" w:hAnsi="Times New Roman"/>
          <w:b/>
          <w:sz w:val="20"/>
          <w:u w:val="single"/>
        </w:rPr>
        <w:t>Investor</w:t>
      </w:r>
      <w:r>
        <w:rPr>
          <w:rFonts w:ascii="Times New Roman" w:hAnsi="Times New Roman"/>
          <w:sz w:val="20"/>
        </w:rPr>
        <w:t> and collectively as the </w:t>
      </w:r>
      <w:r>
        <w:rPr>
          <w:rFonts w:ascii="Times New Roman" w:hAnsi="Times New Roman"/>
          <w:b/>
          <w:sz w:val="20"/>
          <w:u w:val="single"/>
        </w:rPr>
        <w:t>Investors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The Company and certain of the Investors are parties to that certain Series D Preferred Stock Purchase Agreement of even date herewith (the </w:t>
      </w:r>
      <w:r>
        <w:rPr>
          <w:rFonts w:ascii="Times New Roman" w:hAnsi="Times New Roman"/>
          <w:b/>
          <w:sz w:val="20"/>
          <w:u w:val="single"/>
        </w:rPr>
        <w:t>Purchase Agreement</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In order to induce certain of the Investors to purchase Series D Preferred Stock, par value $0.0001 per share (the </w:t>
      </w:r>
      <w:r>
        <w:rPr>
          <w:rFonts w:ascii="Times New Roman" w:hAnsi="Times New Roman"/>
          <w:b/>
          <w:sz w:val="20"/>
          <w:u w:val="single"/>
        </w:rPr>
        <w:t>Series D Preferred Stock</w:t>
      </w:r>
      <w:r>
        <w:rPr>
          <w:rFonts w:ascii="Times New Roman" w:hAnsi="Times New Roman"/>
          <w:sz w:val="20"/>
        </w:rPr>
        <w:t>), and invest funds in the Company pursuant to the Purchase Agreement, the Investors and the Company hereby agree that this Agreement shall govern the rights of the Investors to cause the Company to register shares of Common Stock, par value $0.0001 per share (the </w:t>
      </w:r>
      <w:r>
        <w:rPr>
          <w:rFonts w:ascii="Times New Roman" w:hAnsi="Times New Roman"/>
          <w:b/>
          <w:sz w:val="20"/>
          <w:u w:val="single"/>
        </w:rPr>
        <w:t>Common Stock</w:t>
      </w:r>
      <w:r>
        <w:rPr>
          <w:rFonts w:ascii="Times New Roman" w:hAnsi="Times New Roman"/>
          <w:sz w:val="20"/>
        </w:rPr>
        <w:t xml:space="preserve">), issued or issuable to them and certain other matters as set forth herein.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The undersigned Investors, together with the Company, constitute the necessary written consent pursuant to Section 3.6 of that certain Investors Rights Agreement dated as of August 24, 2021 (the </w:t>
      </w:r>
      <w:r>
        <w:rPr>
          <w:rFonts w:ascii="Times New Roman" w:hAnsi="Times New Roman"/>
          <w:b/>
          <w:sz w:val="20"/>
          <w:u w:val="single"/>
        </w:rPr>
        <w:t>Prior Agreement</w:t>
      </w:r>
      <w:r>
        <w:rPr>
          <w:rFonts w:ascii="Times New Roman" w:hAnsi="Times New Roman"/>
          <w:sz w:val="20"/>
        </w:rPr>
        <w:t xml:space="preserve">), to amend and restate in its entirety the Prior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THE PARTIES HEREBY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Registration Rights</w:t>
      </w:r>
      <w:r>
        <w:rPr>
          <w:rFonts w:ascii="Times New Roman" w:hAnsi="Times New Roman"/>
          <w:sz w:val="20"/>
        </w:rPr>
        <w:t xml:space="preserve">. The Company covenants and agrees as follows: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term </w:t>
      </w:r>
      <w:r>
        <w:rPr>
          <w:rFonts w:ascii="Times New Roman" w:hAnsi="Times New Roman"/>
          <w:b/>
          <w:sz w:val="20"/>
          <w:u w:val="single"/>
        </w:rPr>
        <w:t>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term </w:t>
      </w:r>
      <w:r>
        <w:rPr>
          <w:rFonts w:ascii="Times New Roman" w:hAnsi="Times New Roman"/>
          <w:b/>
          <w:sz w:val="20"/>
          <w:u w:val="single"/>
        </w:rPr>
        <w:t>Affiliate</w:t>
      </w:r>
      <w:r>
        <w:rPr>
          <w:rFonts w:ascii="Times New Roman" w:hAnsi="Times New Roman"/>
          <w:sz w:val="20"/>
        </w:rPr>
        <w:t xml:space="preserve"> means, with respect to any specified person, any other person who or which, directly or indirectly, controls, is controlled by, or is under common control with such specified person, including, without limitation, any general partner, officer, director or manager of such person and any venture capital fund or other investment fund now or hereafter existing that is controlled by one or more general partners or managing members of, or is under common investment management with, or shares the same investment adviser with, such person.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term </w:t>
      </w:r>
      <w:r>
        <w:rPr>
          <w:rFonts w:ascii="Times New Roman" w:hAnsi="Times New Roman"/>
          <w:b/>
          <w:sz w:val="20"/>
          <w:u w:val="single"/>
        </w:rPr>
        <w:t>Form</w:t>
      </w:r>
      <w:r>
        <w:rPr>
          <w:rFonts w:ascii="Times New Roman" w:hAnsi="Times New Roman"/>
          <w:sz w:val="20"/>
          <w:u w:val="single"/>
        </w:rPr>
        <w:t> </w:t>
      </w:r>
      <w:r>
        <w:rPr>
          <w:rFonts w:ascii="Times New Roman" w:hAnsi="Times New Roman"/>
          <w:b/>
          <w:sz w:val="20"/>
          <w:u w:val="single"/>
        </w:rPr>
        <w:t>S-3</w:t>
      </w:r>
      <w:r>
        <w:rPr>
          <w:rFonts w:ascii="Times New Roman" w:hAnsi="Times New Roman"/>
          <w:sz w:val="20"/>
        </w:rPr>
        <w:t xml:space="preserve"> means such form under the Act as in effect on the date hereof or any registration form under the Act subsequently adopted by the SEC that permits inclusion or incorporation of substantial information by reference to other documents filed by the Company with the SEC.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term </w:t>
      </w:r>
      <w:r>
        <w:rPr>
          <w:rFonts w:ascii="Times New Roman" w:hAnsi="Times New Roman"/>
          <w:b/>
          <w:sz w:val="20"/>
          <w:u w:val="single"/>
        </w:rPr>
        <w:t>Free Writing Prospectus</w:t>
      </w:r>
      <w:r>
        <w:rPr>
          <w:rFonts w:ascii="Times New Roman" w:hAnsi="Times New Roman"/>
          <w:sz w:val="20"/>
        </w:rPr>
        <w:t xml:space="preserve"> means a free-writing prospectus, as defined in Rule 405.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term </w:t>
      </w:r>
      <w:r>
        <w:rPr>
          <w:rFonts w:ascii="Times New Roman" w:hAnsi="Times New Roman"/>
          <w:b/>
          <w:sz w:val="20"/>
          <w:u w:val="single"/>
        </w:rPr>
        <w:t>Holder</w:t>
      </w:r>
      <w:r>
        <w:rPr>
          <w:rFonts w:ascii="Times New Roman" w:hAnsi="Times New Roman"/>
          <w:sz w:val="20"/>
        </w:rPr>
        <w:t xml:space="preserve"> means any person owning or having the right to acquire Registrable Securities or any assignee thereof in accordance with Section 1.11 hereof.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term </w:t>
      </w:r>
      <w:r>
        <w:rPr>
          <w:rFonts w:ascii="Times New Roman" w:hAnsi="Times New Roman"/>
          <w:b/>
          <w:sz w:val="20"/>
          <w:u w:val="single"/>
        </w:rPr>
        <w:t>Initial Offering</w:t>
      </w:r>
      <w:r>
        <w:rPr>
          <w:rFonts w:ascii="Times New Roman" w:hAnsi="Times New Roman"/>
          <w:sz w:val="20"/>
        </w:rPr>
        <w:t xml:space="preserve"> means the Companys first firm commitment underwritten public offering of its Common Stock under the Act.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term </w:t>
      </w:r>
      <w:r>
        <w:rPr>
          <w:rFonts w:ascii="Times New Roman" w:hAnsi="Times New Roman"/>
          <w:b/>
          <w:sz w:val="20"/>
          <w:u w:val="single"/>
        </w:rPr>
        <w:t>1934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The term </w:t>
      </w:r>
      <w:r>
        <w:rPr>
          <w:rFonts w:ascii="Times New Roman" w:hAnsi="Times New Roman"/>
          <w:b/>
          <w:sz w:val="20"/>
          <w:u w:val="single"/>
        </w:rPr>
        <w:t>Preferred Directors</w:t>
      </w:r>
      <w:r>
        <w:rPr>
          <w:rFonts w:ascii="Times New Roman" w:hAnsi="Times New Roman"/>
          <w:sz w:val="20"/>
        </w:rPr>
        <w:t xml:space="preserve"> shall mean any of the Series A Directors or the Series B Director.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term </w:t>
      </w:r>
      <w:r>
        <w:rPr>
          <w:rFonts w:ascii="Times New Roman" w:hAnsi="Times New Roman"/>
          <w:b/>
          <w:sz w:val="20"/>
          <w:u w:val="single"/>
        </w:rPr>
        <w:t>Preferred Stock</w:t>
      </w:r>
      <w:r>
        <w:rPr>
          <w:rFonts w:ascii="Times New Roman" w:hAnsi="Times New Roman"/>
          <w:sz w:val="20"/>
        </w:rPr>
        <w:t xml:space="preserve"> shall mean, collectively, the Series A Preferred Stock, the Series A-1 Preferred Stock, the Series B Preferred Stock, the Series B-1 Preferred Stock, the Series C Preferred Stock, and the Series D Preferred Stock.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terms </w:t>
      </w:r>
      <w:r>
        <w:rPr>
          <w:rFonts w:ascii="Times New Roman" w:hAnsi="Times New Roman"/>
          <w:b/>
          <w:sz w:val="20"/>
          <w:u w:val="single"/>
        </w:rPr>
        <w:t>register</w:t>
      </w:r>
      <w:r>
        <w:rPr>
          <w:rFonts w:ascii="Times New Roman" w:hAnsi="Times New Roman"/>
          <w:sz w:val="20"/>
        </w:rPr>
        <w:t>,</w:t>
      </w:r>
      <w:r>
        <w:rPr>
          <w:rFonts w:ascii="Times New Roman" w:hAnsi="Times New Roman"/>
          <w:b/>
          <w:sz w:val="20"/>
        </w:rPr>
        <w:t> </w:t>
      </w:r>
      <w:r>
        <w:rPr>
          <w:rFonts w:ascii="Times New Roman" w:hAnsi="Times New Roman"/>
          <w:b/>
          <w:sz w:val="20"/>
          <w:u w:val="single"/>
        </w:rPr>
        <w:t>registered</w:t>
      </w:r>
      <w:r>
        <w:rPr>
          <w:rFonts w:ascii="Times New Roman" w:hAnsi="Times New Roman"/>
          <w:sz w:val="20"/>
        </w:rPr>
        <w:t>, and </w:t>
      </w:r>
      <w:r>
        <w:rPr>
          <w:rFonts w:ascii="Times New Roman" w:hAnsi="Times New Roman"/>
          <w:b/>
          <w:sz w:val="20"/>
          <w:u w:val="single"/>
        </w:rPr>
        <w:t>registration</w:t>
      </w:r>
      <w:r>
        <w:rPr>
          <w:rFonts w:ascii="Times New Roman" w:hAnsi="Times New Roman"/>
          <w:sz w:val="20"/>
        </w:rPr>
        <w:t xml:space="preserve"> refer to a registration effected by preparing and filing a registration statement or similar document in compliance with the Act, and the declaration or ordering of effectiveness of such registration statement or document.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term </w:t>
      </w:r>
      <w:r>
        <w:rPr>
          <w:rFonts w:ascii="Times New Roman" w:hAnsi="Times New Roman"/>
          <w:b/>
          <w:sz w:val="20"/>
          <w:u w:val="single"/>
        </w:rPr>
        <w:t>Registrable Securities</w:t>
      </w:r>
      <w:r>
        <w:rPr>
          <w:rFonts w:ascii="Times New Roman" w:hAnsi="Times New Roman"/>
          <w:sz w:val="20"/>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on or after the date hereof; and (iii) any Common Stock of the Company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term </w:t>
      </w:r>
      <w:r>
        <w:rPr>
          <w:rFonts w:ascii="Times New Roman" w:hAnsi="Times New Roman"/>
          <w:b/>
          <w:sz w:val="20"/>
          <w:u w:val="single"/>
        </w:rPr>
        <w:t>Restated Certificate</w:t>
      </w:r>
      <w:r>
        <w:rPr>
          <w:rFonts w:ascii="Times New Roman" w:hAnsi="Times New Roman"/>
          <w:sz w:val="20"/>
        </w:rPr>
        <w:t xml:space="preserve"> shall mean the Companys Amended and Restated Certificate of Incorporation, as amended and/or restated from time to time.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The term </w:t>
      </w:r>
      <w:r>
        <w:rPr>
          <w:rFonts w:ascii="Times New Roman" w:hAnsi="Times New Roman"/>
          <w:b/>
          <w:sz w:val="20"/>
          <w:u w:val="single"/>
        </w:rPr>
        <w:t>Rule 144</w:t>
      </w:r>
      <w:r>
        <w:rPr>
          <w:rFonts w:ascii="Times New Roman" w:hAnsi="Times New Roman"/>
          <w:sz w:val="20"/>
        </w:rPr>
        <w:t xml:space="preserve"> shall mean Rule 144 under the Act.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The term </w:t>
      </w:r>
      <w:r>
        <w:rPr>
          <w:rFonts w:ascii="Times New Roman" w:hAnsi="Times New Roman"/>
          <w:b/>
          <w:sz w:val="20"/>
          <w:u w:val="single"/>
        </w:rPr>
        <w:t>Rule 405</w:t>
      </w:r>
      <w:r>
        <w:rPr>
          <w:rFonts w:ascii="Times New Roman" w:hAnsi="Times New Roman"/>
          <w:sz w:val="20"/>
        </w:rPr>
        <w:t xml:space="preserve"> shall mean Rule 405 under the Act.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The term </w:t>
      </w:r>
      <w:r>
        <w:rPr>
          <w:rFonts w:ascii="Times New Roman" w:hAnsi="Times New Roman"/>
          <w:b/>
          <w:sz w:val="20"/>
          <w:u w:val="single"/>
        </w:rPr>
        <w:t>SEC</w:t>
      </w:r>
      <w:r>
        <w:rPr>
          <w:rFonts w:ascii="Times New Roman" w:hAnsi="Times New Roman"/>
          <w:sz w:val="20"/>
        </w:rPr>
        <w:t xml:space="preserve"> shall mean the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The term </w:t>
      </w:r>
      <w:r>
        <w:rPr>
          <w:rFonts w:ascii="Times New Roman" w:hAnsi="Times New Roman"/>
          <w:b/>
          <w:sz w:val="20"/>
          <w:u w:val="single"/>
        </w:rPr>
        <w:t>Series A Directors</w:t>
      </w:r>
      <w:r>
        <w:rPr>
          <w:rFonts w:ascii="Times New Roman" w:hAnsi="Times New Roman"/>
          <w:sz w:val="20"/>
        </w:rPr>
        <w:t xml:space="preserve"> shall mean any directors of the Company that the holders of record of the Series A Preferred Stock are entitled to elect pursuant to the Companys Restated Certificate.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The term </w:t>
      </w:r>
      <w:r>
        <w:rPr>
          <w:rFonts w:ascii="Times New Roman" w:hAnsi="Times New Roman"/>
          <w:b/>
          <w:sz w:val="20"/>
          <w:u w:val="single"/>
        </w:rPr>
        <w:t>Series B Director</w:t>
      </w:r>
      <w:r>
        <w:rPr>
          <w:rFonts w:ascii="Times New Roman" w:hAnsi="Times New Roman"/>
          <w:sz w:val="20"/>
        </w:rPr>
        <w:t xml:space="preserve"> shall mean the director of the Company that the holders of record of the Series B Preferred Stock are entitled to elect pursuant to the Companys Restated Certificate.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The term </w:t>
      </w:r>
      <w:r>
        <w:rPr>
          <w:rFonts w:ascii="Times New Roman" w:hAnsi="Times New Roman"/>
          <w:b/>
          <w:sz w:val="20"/>
          <w:u w:val="single"/>
        </w:rPr>
        <w:t>Series A Preferred Stock</w:t>
      </w:r>
      <w:r>
        <w:rPr>
          <w:rFonts w:ascii="Times New Roman" w:hAnsi="Times New Roman"/>
          <w:sz w:val="20"/>
        </w:rPr>
        <w:t xml:space="preserve"> shall mean shares of the Companys Series A Preferred Stock, par value $0.0001 per share.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The term </w:t>
      </w:r>
      <w:r>
        <w:rPr>
          <w:rFonts w:ascii="Times New Roman" w:hAnsi="Times New Roman"/>
          <w:b/>
          <w:sz w:val="20"/>
          <w:u w:val="single"/>
        </w:rPr>
        <w:t>Series A-1 Preferred Stock</w:t>
      </w:r>
      <w:r>
        <w:rPr>
          <w:rFonts w:ascii="Times New Roman" w:hAnsi="Times New Roman"/>
          <w:sz w:val="20"/>
        </w:rPr>
        <w:t xml:space="preserve"> shall mean shares of the Companys Series A-1 Preferred Stock, par value $0.0001 per share.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The term </w:t>
      </w:r>
      <w:r>
        <w:rPr>
          <w:rFonts w:ascii="Times New Roman" w:hAnsi="Times New Roman"/>
          <w:b/>
          <w:sz w:val="20"/>
          <w:u w:val="single"/>
        </w:rPr>
        <w:t>Series B Preferred Stock</w:t>
      </w:r>
      <w:r>
        <w:rPr>
          <w:rFonts w:ascii="Times New Roman" w:hAnsi="Times New Roman"/>
          <w:sz w:val="20"/>
        </w:rPr>
        <w:t xml:space="preserve"> shall mean shares of the Companys Series B Preferred Stock, par value $0.0001 per share.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The term </w:t>
      </w:r>
      <w:r>
        <w:rPr>
          <w:rFonts w:ascii="Times New Roman" w:hAnsi="Times New Roman"/>
          <w:b/>
          <w:sz w:val="20"/>
          <w:u w:val="single"/>
        </w:rPr>
        <w:t>Series B-1 Preferred Stock</w:t>
      </w:r>
      <w:r>
        <w:rPr>
          <w:rFonts w:ascii="Times New Roman" w:hAnsi="Times New Roman"/>
          <w:sz w:val="20"/>
        </w:rPr>
        <w:t xml:space="preserve"> shall mean shares of the Companys Series B-1 Preferred Stock, par value $0.0001 per share.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term </w:t>
      </w:r>
      <w:r>
        <w:rPr>
          <w:rFonts w:ascii="Times New Roman" w:hAnsi="Times New Roman"/>
          <w:b/>
          <w:sz w:val="20"/>
          <w:u w:val="single"/>
        </w:rPr>
        <w:t>Series C Preferred Stock</w:t>
      </w:r>
      <w:r>
        <w:rPr>
          <w:rFonts w:ascii="Times New Roman" w:hAnsi="Times New Roman"/>
          <w:sz w:val="20"/>
        </w:rPr>
        <w:t xml:space="preserve"> shall mean shares of the Companys Series C Preferred Stock, par value $0.0001 per share.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Request for Registration</w:t>
      </w:r>
      <w:r>
        <w:rPr>
          <w:rFonts w:ascii="Times New Roman" w:hAnsi="Times New Roman"/>
          <w:sz w:val="20"/>
          <w:u w:val="single"/>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conditions of this Section 1.2, if the Company shall receive at any time after the earlier of (i) five (5) years after the date of this Agreement or (ii) six (6) months after the effective date of the Initial Offering, a written request (the </w:t>
      </w:r>
      <w:r>
        <w:rPr>
          <w:rFonts w:ascii="Times New Roman" w:hAnsi="Times New Roman"/>
          <w:b/>
          <w:sz w:val="20"/>
          <w:u w:val="single"/>
        </w:rPr>
        <w:t>Request</w:t>
      </w:r>
      <w:r>
        <w:rPr>
          <w:rFonts w:ascii="Times New Roman" w:hAnsi="Times New Roman"/>
          <w:sz w:val="20"/>
        </w:rPr>
        <w:t>) from (A) in the case of the first registration to be effected pursuant to this Section 1.2, the Holders of a majority of the Registrable Securities then outstanding (for purposes of this Section 1.2(a)(A), the </w:t>
      </w:r>
      <w:r>
        <w:rPr>
          <w:rFonts w:ascii="Times New Roman" w:hAnsi="Times New Roman"/>
          <w:b/>
          <w:sz w:val="20"/>
          <w:u w:val="single"/>
        </w:rPr>
        <w:t>Initiating Holders</w:t>
      </w:r>
      <w:r>
        <w:rPr>
          <w:rFonts w:ascii="Times New Roman" w:hAnsi="Times New Roman"/>
          <w:sz w:val="20"/>
        </w:rPr>
        <w:t>) that the Company file a registration statement under the Act covering the registration of at least thirty percent (30%) of the Registrable Securities (or any lesser percentage if the anticipated aggregate offering price, net of underwriting discounts and commissions, would exceed $20,000,000), or (B) in the case of any permitted subsequent request following the first registration effected pursuant to this Section 1.2, the Holders of thirty percent (30%) or more of the Registrable Securities then outstanding (for purposes of this Section 1.2(a)(B), the </w:t>
      </w:r>
      <w:r>
        <w:rPr>
          <w:rFonts w:ascii="Times New Roman" w:hAnsi="Times New Roman"/>
          <w:b/>
          <w:sz w:val="20"/>
          <w:u w:val="single"/>
        </w:rPr>
        <w:t>Initiating Holders</w:t>
      </w:r>
      <w:r>
        <w:rPr>
          <w:rFonts w:ascii="Times New Roman" w:hAnsi="Times New Roman"/>
          <w:sz w:val="20"/>
        </w:rPr>
        <w:t xml:space="preserve">) that the Company file a registration statement under the Act covering the registration of at least twenty percent (20%) of the Registrable Securities (or any lesser percentage if the anticipated aggregate offering price, net of underwriting discounts and commissions, would exceed $5,000,000), then the Company shall, within twenty (20) days of the receipt thereof, give written notice of such request to all Holders, and subject to the limitations of this Section 1.2, use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the following sentence, subject to the limitations set forth herein. Within ten (10) days of the date the Request is given, the Company shall provide written notice of such Request to all Holders of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the foregoing, the Company shall not be required to effect a registration pursuant to this Section 1.2: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any particular jurisdiction in which the Company would be required to execute a general consent to service of process in effecting such registration, unless the Company is already subject to service in such jurisdiction and except as may be required under the Act;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after the Company has effected two (2) registrations pursuant to this Section 1.2, and such registrations have been declared or ordered effective;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during the period starting with the date ninety (90) days prior to the Companys good faith estimate of the date of the filing of and ending on a date one hundred eighty (180) days following the effective date of a Company-initiated registration subject to Section 1.3 below, </w:t>
      </w:r>
      <w:r>
        <w:rPr>
          <w:rFonts w:ascii="Times New Roman" w:hAnsi="Times New Roman"/>
          <w:sz w:val="20"/>
          <w:u w:val="single"/>
        </w:rPr>
        <w:t>provided</w:t>
      </w:r>
      <w:r>
        <w:rPr>
          <w:rFonts w:ascii="Times New Roman" w:hAnsi="Times New Roman"/>
          <w:sz w:val="20"/>
        </w:rPr>
        <w:t xml:space="preserve"> that the Company is actively employing commercially reasonable efforts to cause such registration statement to become effective;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Initiating Holders propose to dispose of Registrable Securities that may be registered on Form S-3 pursuant to Section 1.4 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if the Company shall furnish to Holders requesting a registration statement pursuant to this Section 1.2 a certificate signed by the Companys Chief Executive Officer or Chairman of the Board of Directors of the Company (</w:t>
      </w:r>
      <w:r>
        <w:rPr>
          <w:rFonts w:ascii="Times New Roman" w:hAnsi="Times New Roman"/>
          <w:b/>
          <w:sz w:val="20"/>
          <w:u w:val="single"/>
        </w:rPr>
        <w:t>Board of Directors</w:t>
      </w:r>
      <w:r>
        <w:rPr>
          <w:rFonts w:ascii="Times New Roman" w:hAnsi="Times New Roman"/>
          <w:sz w:val="20"/>
        </w:rPr>
        <w:t xml:space="preserve">) stating that in the good faith judgment of the Board of Directors, it would be materially detrimental to the Company and its stockholders for such registration statement to either become effective or remain effective for as long as such registration statement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Act or 1934 Act, then the Company shall have the right to defer such filing for a period of not more than ninety (90) days after receipt of the request of the Initiating Holders, </w:t>
      </w:r>
      <w:r>
        <w:rPr>
          <w:rFonts w:ascii="Times New Roman" w:hAnsi="Times New Roman"/>
          <w:sz w:val="20"/>
          <w:u w:val="single"/>
        </w:rPr>
        <w:t>provided</w:t>
      </w:r>
      <w:r>
        <w:rPr>
          <w:rFonts w:ascii="Times New Roman" w:hAnsi="Times New Roman"/>
          <w:sz w:val="20"/>
        </w:rPr>
        <w:t xml:space="preserve"> that such right shall be exercised by the Company not more than once in any twelve (12) month period,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u w:val="single"/>
        </w:rPr>
        <w:t>Company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Upon the written request of each Holder given within twenty (20) days after mailing of such notice by the Company in accordance with Section 3.5, the Company shall, subject to the provisions of Section 1.3(c), use commercially reasonable efforts to cause to be registered under the Act all of the Registrable Securities that each such Holder requests to be registered.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Right to Terminate Registration</w:t>
      </w:r>
      <w:r>
        <w:rPr>
          <w:rFonts w:ascii="Times New Roman" w:hAnsi="Times New Roman"/>
          <w:sz w:val="20"/>
        </w:rPr>
        <w:t xml:space="preserve">. The Company shall have the right to terminate or withdraw any registration initiated by it under this Section 1.3 prior to the effectiveness of such registration whether or not any Holder has elected to include securities in such registration and shall promptly notify any Holder that has elected to include securities in such registration of such termination or withdrawal. The expenses of such withdrawn registration shall be borne by the Company in accordance with Section 1.7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Underwriting Requirements</w:t>
      </w:r>
      <w:r>
        <w:rPr>
          <w:rFonts w:ascii="Times New Roman" w:hAnsi="Times New Roman"/>
          <w:sz w:val="20"/>
        </w:rPr>
        <w:t xml:space="preserve">. If the registration statement of which the Company gives notice under this Section 1.3 is for an underwritten offering, the Company shall so advise the Holders of Registrable Securities.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reasonable discretion is compatible with the success of the offering, then the Company shall be required to include in the offering only that number of such securities, including Registrable Securities, that the underwriters and the Company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allocated pro rata among the selling Holders in proportion (as nearly as practicable) to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twenty-five percent (25%)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u w:val="single"/>
        </w:rPr>
        <w:t>Form S-3 Registration</w:t>
      </w:r>
      <w:r>
        <w:rPr>
          <w:rFonts w:ascii="Times New Roman" w:hAnsi="Times New Roman"/>
          <w:sz w:val="20"/>
        </w:rPr>
        <w:t>. In case the Company shall receive from any of the Holders of Registrable Securities (for purposes of this Section 1.4, the </w:t>
      </w:r>
      <w:r>
        <w:rPr>
          <w:rFonts w:ascii="Times New Roman" w:hAnsi="Times New Roman"/>
          <w:b/>
          <w:sz w:val="20"/>
          <w:u w:val="single"/>
        </w:rPr>
        <w:t>S-3 Initiating Holders</w:t>
      </w:r>
      <w:r>
        <w:rPr>
          <w:rFonts w:ascii="Times New Roman" w:hAnsi="Times New Roman"/>
          <w:sz w:val="20"/>
        </w:rPr>
        <w:t xml:space="preserve">) a written request or requests that the Company effect a registration on Form S-3 and any related qualification or compliance with respect to all or a part of the Registrable Securities owned by such Holder or Holders, the Company shall: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within ten (10) days after such request is given, give written notice of the proposed registration, and any related qualification or compliance, to all other Holders;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use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effect any such registration, qualification or compliance, pursuant to this Section 1.4: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Form S-3 is not available for such offering by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$2,000,000;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the Company shall furnish to all Holders requesting a registration statement pursuant to this Section 1.4 a certificate signed by the Companys Chief Executive Officer or Chairman of the Board of Directors stating that in the good faith judgment of the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Act or 1934 Act, then the Company shall have the right to defer such filing for a period of not more than ninety (90) days after receipt of the request of the S-3 Initiating Holders, </w:t>
      </w:r>
      <w:r>
        <w:rPr>
          <w:rFonts w:ascii="Times New Roman" w:hAnsi="Times New Roman"/>
          <w:sz w:val="20"/>
          <w:u w:val="single"/>
        </w:rPr>
        <w:t>provided</w:t>
      </w:r>
      <w:r>
        <w:rPr>
          <w:rFonts w:ascii="Times New Roman" w:hAnsi="Times New Roman"/>
          <w:sz w:val="20"/>
        </w:rPr>
        <w:t xml:space="preserve"> that such right shall be exercised by the Company not more than once in any twelve (12)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Company has, within the twelve (12) month period preceding the date of such request, already effected two (2) registrations on Form S-3 pursuant to this Section 1.4;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particular jurisdiction in which the Company would be required to qualify to do business or to execute a general consent to service of process in effecting such registration, qualification or compliance;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if the Company, within thirty (30) days of receipt of the request of such S-3 Initiating Holders, gives notice of its bona fide intention to effect the filing of a registration statement with the SEC within one hundred twenty (120) days of receipt of such request (other than a registration effected solely to qualify an employee benefit plan or to effect a business combination pursuant to Rule 145), </w:t>
      </w:r>
      <w:r>
        <w:rPr>
          <w:rFonts w:ascii="Times New Roman" w:hAnsi="Times New Roman"/>
          <w:sz w:val="20"/>
          <w:u w:val="single"/>
        </w:rPr>
        <w:t>provided</w:t>
      </w:r>
      <w:r>
        <w:rPr>
          <w:rFonts w:ascii="Times New Roman" w:hAnsi="Times New Roman"/>
          <w:sz w:val="20"/>
        </w:rPr>
        <w:t xml:space="preserve"> that the Company is actively employing in good faith its commercially reasonable efforts to cause such registration statement to become effective; or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Times New Roman" w:hAnsi="Times New Roman"/>
          <w:sz w:val="20"/>
          <w:u w:val="single"/>
        </w:rPr>
        <w:t>provided</w:t>
      </w:r>
      <w:r>
        <w:rPr>
          <w:rFonts w:ascii="Times New Roman" w:hAnsi="Times New Roman"/>
          <w:sz w:val="20"/>
        </w:rPr>
        <w:t xml:space="preserve"> that the Company is actively employing in good faith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Subject to the foregoing, the Company shall file a registration statement covering the Registrable Securities and other securities so requested to be registered as soon as practicable, and in any event within forty-five (45) days after receipt of the request or requests of the S-3 Initiating Holders. Registrations effected pursuant to this Section 1.4 shall not be counted as requests for registration effected pursuant to Section 1.2.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u w:val="single"/>
        </w:rPr>
        <w:t>Obligations of the Company</w:t>
      </w:r>
      <w:r>
        <w:rPr>
          <w:rFonts w:ascii="Times New Roman" w:hAnsi="Times New Roman"/>
          <w:sz w:val="20"/>
        </w:rPr>
        <w:t xml:space="preserve">. Whenever required under this Section 1 to effect the registration of any Registrable Securities, the Company shall use commercially reasonable efforts to: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prepare and file with the SEC a registration statement with respect to such Registrable Securities and use all commercially reasonable efforts to cause such registration statement to become effective, and, upon the request of the Holders of a majority of the Registrable Securities registered thereunder, keep such registration statement effective for a period of up to ninety (90) days or, if earlier, until the distribution contemplated in the Registration Statement has been completed; </w:t>
      </w:r>
      <w:r>
        <w:rPr>
          <w:rFonts w:ascii="Times New Roman" w:hAnsi="Times New Roman"/>
          <w:sz w:val="20"/>
          <w:u w:val="single"/>
        </w:rPr>
        <w:t>provided</w:t>
      </w:r>
      <w:r>
        <w:rPr>
          <w:rFonts w:ascii="Times New Roman" w:hAnsi="Times New Roman"/>
          <w:sz w:val="20"/>
        </w:rPr>
        <w:t xml:space="preserve">, that such ninety (90) day period shall be extended for a period of time equal to the period the Holder refrains, at the request of an underwriter of Common Stock (or other securities) of the Company, from selling any securities included in such registration;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register and qualify the securities covered by such registration statement under such other securities or Blue Sky laws of such jurisdictions as shall be reasonably requested by the Holders, </w:t>
      </w:r>
      <w:r>
        <w:rPr>
          <w:rFonts w:ascii="Times New Roman" w:hAnsi="Times New Roman"/>
          <w:sz w:val="20"/>
          <w:u w:val="single"/>
        </w:rPr>
        <w:t>provided</w:t>
      </w:r>
      <w:r>
        <w:rPr>
          <w:rFonts w:ascii="Times New Roman" w:hAnsi="Times New Roman"/>
          <w:sz w:val="20"/>
        </w:rPr>
        <w:t xml:space="preserve">, that the Company shall not be required in connection therewith or as a condition thereto to qualify to do business or to file a general consent to service of process in any such states or jurisdictions;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in the event of any underwritten public offering, enter into and perform its obligations under an underwriting agreement, in usual and customary form, with the managing underwriter of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cause all such Registrable Securities registered pursuant to this Section 1 to be listed on a national exchange or trading system and on each securities exchange and trading system on which similar securities issued by the Company are then listed; and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provide a transfer agent and registrar for all Registrable Securities registered pursuant to this Agreement and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notify each selling Holder, promptly after the Company receives notice thereof, of the time when such registration statement has been declared effective or a supplement to any prospectus forming a part of such registration statement has been filed.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after such registration statement becomes effective, notify each selling Holder of any request by the SEC that the Company amend or supplement such registration statement or prospectus.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1,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of Directors: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materially impede, delay or interfere with any material pending or proposed financing, acquisition, corporate reorganization or other similar transaction involving the Company for which the Board of Directors has authorized negotiations;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materially and adversely impair the consummation of any pending or proposed material offering or sale of any class of securities by the Company;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require disclosure of material nonpublic information that, if disclosed at such time, would be materially harmful to the interests of the Company and its stockholders;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during any such period all executive officers and directors of the Company are also prohibited from selling securities of the Company (or any security of any of the Companys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u w:val="single"/>
        </w:rPr>
        <w:t>Information from Holder</w:t>
      </w:r>
      <w:r>
        <w:rPr>
          <w:rFonts w:ascii="Times New Roman" w:hAnsi="Times New Roman"/>
          <w:sz w:val="20"/>
        </w:rPr>
        <w:t xml:space="preserve">.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u w:val="single"/>
        </w:rPr>
        <w:t>Expenses of Registration</w:t>
      </w:r>
      <w:r>
        <w:rPr>
          <w:rFonts w:ascii="Times New Roman" w:hAnsi="Times New Roman"/>
          <w:sz w:val="20"/>
        </w:rPr>
        <w:t xml:space="preserve">. All expenses other than underwriting discounts and commissions incurred in connection with registrations, filings or qualifications pursuant to Sections 1.2, 1.3 and 1.4, including, without limitation, all registration, filing and qualification fees, printers and accounting fees, fees and disbursements of counsel for the Company and the reasonable fees and disbursements of one counsel for the selling Holders (not to exceed $25,000) shall be borne by the Company. Notwithstanding the foregoing, the Company shall not be required to pay for any expenses of any registration proceeding begun pursuant to Section 1.2 or Section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1.2 and 1.4. </w:t>
      </w:r>
    </w:p>
    <w:p>
      <w:pPr>
        <w:pStyle w:val="TextBody"/>
        <w:bidi w:val="0"/>
        <w:spacing w:before="240" w:after="0"/>
        <w:jc w:val="left"/>
        <w:rPr>
          <w:rFonts w:ascii="Times New Roman" w:hAnsi="Times New Roman"/>
          <w:sz w:val="20"/>
        </w:rPr>
      </w:pPr>
      <w:r>
        <w:rPr>
          <w:rFonts w:ascii="Times New Roman" w:hAnsi="Times New Roman"/>
          <w:b/>
          <w:sz w:val="20"/>
        </w:rPr>
        <w:t xml:space="preserve">1.8 </w:t>
      </w:r>
      <w:r>
        <w:rPr>
          <w:rFonts w:ascii="Times New Roman" w:hAnsi="Times New Roman"/>
          <w:b/>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In the event any Registrable Securities are included in a registration statement under this Section 1: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the extent permitted by law, the Company will indemnify and hold harmless each Holder, the partners, members, managers, officers, directors and stockholders of each Holder, legal counsel, accountants and investment advisers for each Holder, any underwriter (as defined in the Act) for such Holder and each person, if any, who controls such Holder or underwriter within the meaning of the Act or the 1934 Act, against any losses, claims, damages or liabilities (joint or several), cost and expenses (including any amounts paid in any settlement effected with the Companys consent) to which they may become subject under the Act, the 1934 Act, any state securities laws or any rule or regulation promulgated under the Act, insofar as such losses, claims, damages, or liabilities (or actions or proceedings, whether commenced or threatened, in respect thereof) arise out of or are based upon any of the following statements, omissions or violations (collectively a </w:t>
      </w:r>
      <w:r>
        <w:rPr>
          <w:rFonts w:ascii="Times New Roman" w:hAnsi="Times New Roman"/>
          <w:b/>
          <w:sz w:val="20"/>
          <w:u w:val="single"/>
        </w:rPr>
        <w:t>Violation</w:t>
      </w:r>
      <w:r>
        <w:rPr>
          <w:rFonts w:ascii="Times New Roman" w:hAnsi="Times New Roman"/>
          <w:sz w:val="20"/>
        </w:rPr>
        <w:t xml:space="preserve">): (i) any untrue statement or alleged untrue statement of any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(ii) 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promptly upon demand, for any legal or other expenses reasonably incurred by them in connection with investigating, preparing to defend or defending against or appearing as a third-party witness in connection with any such loss, claim, damage, liability, proceeding or action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subsection l.9(a) shall not apply to amounts paid in settlement of any such loss, claim, damage, liability, proceeding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the extent permitted by law, each selling Holder, severally and not jointly, will indemnify and hold harmless the Company, each of its directors or officers who has signed the registration statement, each person, if any, who controls the Company within the meaning of the Act, legal counsel and accountants for the Company, any underwriter (as defined in the Act),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thereto) arise out of or are based upon any Violation, in each case to the extent (and only to the extent) that such Violation occurs in reliance upon and in strict conformity with written information furnished by such Holder expressly for use in connection with such registration; and each such Holder will reimburse any person intended to be indemnified pursuant to this subsection l.9(b) for any legal or other expenses reasonably incurred by such person in connection with investigating or defending any such loss, claim, damage, liability, proceeding or action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indemnity agreement is subject to the condition that, insofar as it relates to any such untrue statement (or alleged untrue statement) or omission (or alleged omission) made in the preliminary prospectus but eliminated or remedied in the amended prospectus at the time the registration statement becomes effective or in the final prospectus, such indemnity agreement shall not inure to the benefit of (i) the Company and (ii) any underwriter, if a copy of the final prospectus was not furnished to the person or entity asserting the loss, liability, claim or damage at or prior to the time such furnishing is required by the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indemnity shall not be deemed to relieve any underwriter of any of its due diligence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indemnity agreement contained in this subsection l.9(b) shall not apply to amounts paid in settlement of any such loss, claim, damage, liability, proceeding or action if such settlement is effected without the consent of the Holder (which consent shall not be unreasonably withheld), and </w:t>
      </w:r>
      <w:r>
        <w:rPr>
          <w:rFonts w:ascii="Times New Roman" w:hAnsi="Times New Roman"/>
          <w:sz w:val="20"/>
          <w:u w:val="single"/>
        </w:rPr>
        <w:t>provided</w:t>
      </w:r>
      <w:r>
        <w:rPr>
          <w:rFonts w:ascii="Times New Roman" w:hAnsi="Times New Roman"/>
          <w:sz w:val="20"/>
        </w:rPr>
        <w:t xml:space="preserve"> that in no event shall any indemnity or contribution under this subsection l.9(b) exceed the net proceeds from the offering received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Promptly after receipt by an indemnified party under this Section 1.9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1.9, promptly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After notice from the indemnifying party to such indemnified party of its election so to assume the defense thereof, the indemnifying party will not be liable to such indemnified party pursuant to the provisions under this Section 1.9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The failure to deliver written notice to the indemnifying party within a reasonable time of the commencement of any such action, if materially prejudicial to its ability to defend such action, shall relieve such indemnifying party of liability to the indemnified party under this Section 1.9 to the extent of such prejudice, but the omission to so deliver written notice to the indemnifying party will not relieve it of any liability that it may have to any indemnified party otherwise than under this Section 1.9.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If the indemnification provided for in this Section 1.9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contribution by any Holder, when combined with any amounts paid by such Holder pursuant to Section 1.9(b),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a Holders liability pursuant to this Section 1.9(d), when combined with the amounts paid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by such Holder pursuant to Section 1.9(b), exceed the net proceeds from the offering received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Unless otherwise superseded by an underwriting agreement entered into in connection with the underwritten public offering, the obligations of the Company and Holders under this Section 1.9 shall survive the completion of any offering of Registrable Securities in a registration statement under this Section 1 and otherwise.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u w:val="single"/>
        </w:rPr>
        <w:t>Reports Under the 1934 Act</w:t>
      </w:r>
      <w:r>
        <w:rPr>
          <w:rFonts w:ascii="Times New Roman" w:hAnsi="Times New Roman"/>
          <w:sz w:val="20"/>
        </w:rPr>
        <w:t xml:space="preserve">.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make and keep publicly available to the Holders pursuant to Rule 144, such information as is necessary to enable the Holders to make sales of Registrable Securities pursuant to Rule 144, at all times after the effective date of the Initial Offering;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use commercially reasonable efforts to file with the SEC in a timely manner all reports and other documents required of the Company under the Act and the 1934 Act (at any time after the Company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furnish to any Holder, so long as the Holder owns any Registrable Securities, forthwith upon request (i) to the extent accurate, a written statement by the Company that it has complied with the reporting requirements of Rule 144 (at any time after ninety (90) days after the effective date of the first registration statement filed by the Company for its Initial Offering),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(at any time after the Company has become subject to the reporting requirements under the 1934 Act) or pursuant to Form S-3 (at any time after the Company so qualifies to use such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Assignment of Registration Rights</w:t>
      </w:r>
      <w:r>
        <w:rPr>
          <w:rFonts w:ascii="Times New Roman" w:hAnsi="Times New Roman"/>
          <w:sz w:val="20"/>
        </w:rPr>
        <w:t xml:space="preserve">. The rights to cause the Company to register Registrable Securities pursuant to this Section 1 may be assigned (but only with all related obligations) by a Holder to a transferee or assignee of all or any part of its Registrable Securities, provided: (a) the Company is, within a reasonable time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including, without limitation, the provisions of Section 1.13 below; and (c) such assignment shall be effective only if immediately following such transfer the further disposition of such securities by the transferee or assignee is restricted under the Act.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Investor Consent (as defined below), enter into any agreement with any holder or prospective holder of any securities of the Company that would allow such holder or prospective holder (a) to include any of such securities in any registration filed under Section 1.2, Section 1.3 or Section 1.4 hereof,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sz w:val="20"/>
          <w:u w:val="single"/>
        </w:rPr>
        <w:t></w:t>
      </w:r>
      <w:r>
        <w:rPr>
          <w:rFonts w:ascii="Times New Roman" w:hAnsi="Times New Roman"/>
          <w:b/>
          <w:sz w:val="20"/>
          <w:u w:val="single"/>
        </w:rPr>
        <w:t>Market Stand-Off</w:t>
      </w:r>
      <w:r>
        <w:rPr>
          <w:rFonts w:ascii="Times New Roman" w:hAnsi="Times New Roman"/>
          <w:sz w:val="20"/>
          <w:u w:val="single"/>
        </w:rPr>
        <w:t xml:space="preserve"> </w:t>
      </w:r>
      <w:r>
        <w:rPr>
          <w:rFonts w:ascii="Times New Roman" w:hAnsi="Times New Roman"/>
          <w:b/>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(180) days) (the </w:t>
      </w:r>
      <w:r>
        <w:rPr>
          <w:rFonts w:ascii="Times New Roman" w:hAnsi="Times New Roman"/>
          <w:b/>
          <w:sz w:val="20"/>
          <w:u w:val="single"/>
        </w:rPr>
        <w:t>Stand-Off Period</w:t>
      </w:r>
      <w:r>
        <w:rPr>
          <w:rFonts w:ascii="Times New Roman" w:hAnsi="Times New Roman"/>
          <w:sz w:val="20"/>
        </w:rPr>
        <w:t>)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effectiveness of the Registration Statement for the Initial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and shall only be applicable to the Holders if all officers, directors and greater than one percent (1%) stockholders of the Company enter into 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In the event that the Company or the managing underwriter waives or terminates any of the restrictions contained in this Section 1.13 or in a lock-up agreement with respect to the securities of any Holder, officer, director or greater than one-percent stockholder (in any such case, the </w:t>
      </w:r>
      <w:r>
        <w:rPr>
          <w:rFonts w:ascii="Times New Roman" w:hAnsi="Times New Roman"/>
          <w:b/>
          <w:sz w:val="20"/>
        </w:rPr>
        <w:t>Released Securities</w:t>
      </w:r>
      <w:r>
        <w:rPr>
          <w:rFonts w:ascii="Times New Roman" w:hAnsi="Times New Roman"/>
          <w:sz w:val="20"/>
        </w:rPr>
        <w:t xml:space="preserve">), the restrictions contained in this Section 1.13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 The obligations described in this Section 1.13 shall not apply to a registration relating solely to employee benefit plans on Form S-l or Form S-8 or similar forms that may be promulgated in the future, or a registration relating solely to a transaction on Form S-4 or similar forms that may be promulgated in the future. In order to enforce the foregoing covenant, the Company may impose stop-transfer instructions with respect to the Registrable Securities of each Holder (and the shares or securities of every other person subject to the foregoing restriction) until the end of the Stand-Off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Holder agrees that a legend reading substantially as follows shall be placed on all certificates representing all Registrable Securities of each Holder (and the shares or securities of every other person subject to the restriction contained in this Section 1.13):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MAY BE TRANSFERRED ONLY IN ACCORDANCE WITH THE TERMS OF AN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 of each certificate representing Restricted Securities, by acceptance thereof, agrees to comply in all respects with the provisions of this Section 1. Before any proposed sale, pledge, or transfer of any Restricted Securities, unless there is in effect a registration statement under the Act covering the proposed transaction or, following the Initial Offering, the transfer is made pursuant to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Rule 144 or (y) in any transaction in which such Holder distributes Restricted Securities to an Affiliate of such Holder for no consideration; provided that, other than in connection with a transaction in compliance with Rule 144 following the Initial Offering, each transferee agrees in writing to be subject to the terms of this 1.13(c). Each certificate or instrument evidencing the Restricted Securities transferred as above provided shall bear, except if such transfer is made pursuant to Rule 144 or pursuant to an effective registration statement, the appropriate restrictive legend set forth in Section 1.13(b), except that such certificate shall not bear such restrictive legend if, in the opinion of counsel for such Holder and the Company, such legend is not required in order to establish compliance with any provisions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u w:val="single"/>
        </w:rPr>
        <w:t>Termination of Registration Rights</w:t>
      </w:r>
      <w:r>
        <w:rPr>
          <w:rFonts w:ascii="Times New Roman" w:hAnsi="Times New Roman"/>
          <w:sz w:val="20"/>
        </w:rPr>
        <w:t xml:space="preserve">. No Holder shall be entitled to exercise any right provided for in this Section 1 after the earlier of (a) five (5) years following the consummation of the Initial Offering or (b) as to any Holder, the date after the Initial Offering on which such Holder can sell all shares held by it under Rule 144 without any limitation on volume of sales.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Covenants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Delivery of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Each Investor shall have the right to receive, upon request: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within 180 days after the end of fiscal year 2021 and within 120 days after the end of each fiscal year of the Company thereafter,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Times New Roman" w:hAnsi="Times New Roman"/>
          <w:b/>
          <w:sz w:val="20"/>
          <w:u w:val="single"/>
        </w:rPr>
        <w:t>GAAP</w:t>
      </w:r>
      <w:r>
        <w:rPr>
          <w:rFonts w:ascii="Times New Roman" w:hAnsi="Times New Roman"/>
          <w:sz w:val="20"/>
        </w:rPr>
        <w:t xml:space="preserve">), and audited and certified by independent public accountants of nationally recognized standing selected by the Board of Directors and accompanied by an opinion of such firm which opinion shall state that such balance sheet and statements of income and cash flow have been prepared in accordance with GAAP applied on a basis consistent with that of the preceding fiscal year, and present fairly and accurately the financial position of the Company as of their date, and that the audit by such accountants in connection with such financial statements has been made in accordance with generally accepted auditing standards;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for each of the first three (3) fiscal quarters of each fiscal year of the Company, within forty-five (45) days after the end of each such fiscal quarter, an unaudited income statement, statement of cash flows for such fiscal quarter and an unaudited balance sheet as of the end of such fiscal quarter, all prepared in accordance with GAAP (except that such financial statements may (x) be subject to normal year-end audit adjustments and (y) not contain all notes thereto that may be required in accordance with GAAP), as well as a current capitalization table for the Company; and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at least 30 days prior to the beginning of each fiscal year (or such later date as shall be approved by the Board of Directors including the vote of at least one Series A Director and the Series B Director), a copy of the annual budget for the Company, as established by management in consultation with the Board of Directors (and approved by the affirmative vote of at least one Series A Director and the Series B Director, as set forth in the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Inspection</w:t>
      </w:r>
      <w:r>
        <w:rPr>
          <w:rFonts w:ascii="Times New Roman" w:hAnsi="Times New Roman"/>
          <w:sz w:val="20"/>
        </w:rPr>
        <w:t>. The Company shall permit each Investor holding at least 3,000,000 shares of Preferred Stock (as adjusted for any stock split, stock dividend, combination, or other recapitalization or reclassification effected after the date hereof) (a </w:t>
      </w:r>
      <w:r>
        <w:rPr>
          <w:rFonts w:ascii="Times New Roman" w:hAnsi="Times New Roman"/>
          <w:b/>
          <w:sz w:val="20"/>
          <w:u w:val="single"/>
        </w:rPr>
        <w:t>Major Investor</w:t>
      </w:r>
      <w:r>
        <w:rPr>
          <w:rFonts w:ascii="Times New Roman" w:hAnsi="Times New Roman"/>
          <w:sz w:val="20"/>
        </w:rPr>
        <w:t xml:space="preserve">), at such Major Investors expense, to visit and inspect the Companys properties, to examine its books of account and records and to discuss the Companys affairs, finances and accounts with its officers, all at such reasonable times as may be reasonably requested by the Major Investor and convenient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Company shall not be obligated pursuant to this Section 2.2 to provide access to any information that (x) it deems in good faith to be a trade secret or similar confidential information (y) the disclosure of which would cause the termination of the attorney-client privilege between the Company and its counsel or (z) to any person determined by the Board of Directors to be a competitor of the Company. For the purposes of determining an Investors rights in accordance with this Section 2.2, the Registrable Securities of those Investors identified as Group A Investors on the signature pages hereto shall be aggregated together (the </w:t>
      </w:r>
      <w:r>
        <w:rPr>
          <w:rFonts w:ascii="Times New Roman" w:hAnsi="Times New Roman"/>
          <w:b/>
          <w:sz w:val="20"/>
          <w:u w:val="single"/>
        </w:rPr>
        <w:t>Group A Investors</w:t>
      </w:r>
      <w:r>
        <w:rPr>
          <w:rFonts w:ascii="Times New Roman" w:hAnsi="Times New Roman"/>
          <w:sz w:val="20"/>
        </w:rPr>
        <w:t>), the Registrable Securities of those Investors identified as Group B Investors on the signature pages hereto shall be aggregated together (the </w:t>
      </w:r>
      <w:r>
        <w:rPr>
          <w:rFonts w:ascii="Times New Roman" w:hAnsi="Times New Roman"/>
          <w:b/>
          <w:sz w:val="20"/>
          <w:u w:val="single"/>
        </w:rPr>
        <w:t>Group B Investors</w:t>
      </w:r>
      <w:r>
        <w:rPr>
          <w:rFonts w:ascii="Times New Roman" w:hAnsi="Times New Roman"/>
          <w:sz w:val="20"/>
        </w:rPr>
        <w:t>), and the Registrable Securities of Sutter Hill Ventures, a California Limited Partnership (</w:t>
      </w:r>
      <w:r>
        <w:rPr>
          <w:rFonts w:ascii="Times New Roman" w:hAnsi="Times New Roman"/>
          <w:b/>
          <w:sz w:val="20"/>
          <w:u w:val="single"/>
        </w:rPr>
        <w:t>SHV</w:t>
      </w:r>
      <w:r>
        <w:rPr>
          <w:rFonts w:ascii="Times New Roman" w:hAnsi="Times New Roman"/>
          <w:sz w:val="20"/>
        </w:rPr>
        <w:t xml:space="preserve">), and its Affiliates shall be aggregated together. For the purposes of exercising their rights as Major Investors, each of the Group A Investors and the Group B Investors shall appoint one (1) representative, who shall have authority to exercise such rights on behalf of each group of Investors. The representative for the Group A Investors shall initially be Manuel Alba. A majority in interest of the Group A Investors and Group B Investors, respectively, may appoint a new representative for such Group upon not less than ten (10) days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Confidentiality</w:t>
      </w:r>
      <w:r>
        <w:rPr>
          <w:rFonts w:ascii="Times New Roman" w:hAnsi="Times New Roman"/>
          <w:sz w:val="20"/>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2.3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Section 2.3;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provided that the Investor promptly notifies the Company of such disclosure and takes reasonable steps to minimize the extent of any such required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Right of First Offer</w:t>
      </w:r>
      <w:r>
        <w:rPr>
          <w:rFonts w:ascii="Times New Roman" w:hAnsi="Times New Roman"/>
          <w:sz w:val="20"/>
        </w:rPr>
        <w:t>. Subject to the terms and conditions specified in this Section 2.4, the Company hereby grants to each Investor a right of first offer with respect to future sales by the Company of its Shares (as hereinafter defined). For the purposes of this Section 2.4, the term </w:t>
      </w:r>
      <w:r>
        <w:rPr>
          <w:rFonts w:ascii="Times New Roman" w:hAnsi="Times New Roman"/>
          <w:b/>
          <w:sz w:val="20"/>
          <w:u w:val="single"/>
        </w:rPr>
        <w:t>Investor</w:t>
      </w:r>
      <w:r>
        <w:rPr>
          <w:rFonts w:ascii="Times New Roman" w:hAnsi="Times New Roman"/>
          <w:sz w:val="20"/>
        </w:rPr>
        <w:t> includes any general partner and Affiliates of an Investor and transferee of an Investor. An Investor shall be entitled to apportion the right of first offer hereby granted it among itself, its partners and its Affiliates in such proportions as it deems appropriate. Each time the Company proposes to offer any shares of its capital stock (including, without limitation, any such shares or securities issued in connection with debt securities), or debt or equity securities convertible into or exchangeable or exercisable for any shares of such capital stock (</w:t>
      </w:r>
      <w:r>
        <w:rPr>
          <w:rFonts w:ascii="Times New Roman" w:hAnsi="Times New Roman"/>
          <w:b/>
          <w:sz w:val="20"/>
          <w:u w:val="single"/>
        </w:rPr>
        <w:t>Shares</w:t>
      </w:r>
      <w:r>
        <w:rPr>
          <w:rFonts w:ascii="Times New Roman" w:hAnsi="Times New Roman"/>
          <w:sz w:val="20"/>
        </w:rPr>
        <w:t xml:space="preserve">), the Company shall first make an offering of such Shares to each Investor in accordance with the following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deliver a notice in accordance with Section 3.5 (</w:t>
      </w:r>
      <w:r>
        <w:rPr>
          <w:rFonts w:ascii="Times New Roman" w:hAnsi="Times New Roman"/>
          <w:b/>
          <w:sz w:val="20"/>
          <w:u w:val="single"/>
        </w:rPr>
        <w:t>Notice</w:t>
      </w:r>
      <w:r>
        <w:rPr>
          <w:rFonts w:ascii="Times New Roman" w:hAnsi="Times New Roman"/>
          <w:sz w:val="20"/>
        </w:rPr>
        <w:t xml:space="preserve">) to each Investor stating (i) its bona fide intention to offer such Shares, (ii) the number of such Shares to be offered and (iii) the price and terms upon which it proposes to offer such Shares.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By written notification received by the Company within twenty (20) calendar days after the giving of Notice, each Investor may elect to purchase, at the price and on the terms specified in the Notice, up to that portion of such Shares that equals (i) the number of shares of Common Stock issued and held, or issuable (directly or indirectly) upon conversion or exercise of the equity of the Company then held by such Investor bears to (ii) the total number of issued shares of Common Stock of the Company, on an as converted basis then outstanding (</w:t>
      </w:r>
      <w:r>
        <w:rPr>
          <w:rFonts w:ascii="Times New Roman" w:hAnsi="Times New Roman"/>
          <w:b/>
          <w:sz w:val="20"/>
          <w:u w:val="single"/>
        </w:rPr>
        <w:t>Pro-Rata Amount</w:t>
      </w:r>
      <w:r>
        <w:rPr>
          <w:rFonts w:ascii="Times New Roman" w:hAnsi="Times New Roman"/>
          <w:sz w:val="20"/>
        </w:rPr>
        <w:t>). The Company shall promptly, in writing, inform each Investor that elects to purchase all the Shares available to it (a </w:t>
      </w:r>
      <w:r>
        <w:rPr>
          <w:rFonts w:ascii="Times New Roman" w:hAnsi="Times New Roman"/>
          <w:b/>
          <w:sz w:val="20"/>
          <w:u w:val="single"/>
        </w:rPr>
        <w:t>Fully-Exercising Investor</w:t>
      </w:r>
      <w:r>
        <w:rPr>
          <w:rFonts w:ascii="Times New Roman" w:hAnsi="Times New Roman"/>
          <w:sz w:val="20"/>
        </w:rPr>
        <w:t xml:space="preserve">) of any other Investors failure to do likewise. During the ten (10) day period commencing after such information is given, each Fully-Exercising Investor may, by written notice to the Company elect to purchase up to that portion of the Shares for which Investors were entitled to subscribe, but which were not subscribed for by such Investors, that is equal to the proportion that the number of shares of Common Stock issued and held, or issuable (directly or indirectly) upon conversion or exercise of the equity of the Company then held by such Investor bears to the total number of shares of Common Stock issued and held, or issuable (directly or indirectly) upon conversion or exercise of the equity of the Company then held by all Fully-Exercising Investors who wish to purchase some of the unsubscribed Shares. The closing of any sale pursuant to this subsection 2.4(b) shall occur within the later of ninety (90) days after the date that the Notice is given and the date of initial sale of new Shares pursuant to subsection 2.4(c).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may, during the sixty (60) day period following the expiration of the period provided in subsection 2.4(b) hereof, offer and sell the remaining unsubscribed portion of such Shares to any person or persons at an amount equal to or greater than the price, and upon terms no more favorable to the offeree than those, specified in the Notice. If the Company does not enter into an agreement for the sale of the Shares within such period, or if such agreement is not consummated within twenty (20) days of the execution thereof, the right provided hereunder shall be deemed to be revived and such Shares shall not be offered unless first reoffered to the Investors in accordance 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right of first offer in this Section 2.4 shall not be applicable to (i) Excluded Securities, as defined in the Restated Certificate, set forth in Subsections 4(d)(i)(B)(1)-(8) of Article IV(B) of the Restated Certificate and (ii) the issuance and sale of Series D Preferred Stock pursuant to the Purchase Agreement. In addition to the foregoing, the right of first offer in this Section 2.4 shall not be applicable with respect to any Investor in an offering of Shares if (A) at the time of such offering, the Investor is not an accredited investor, as that term is then defined in Rule 501(a) of the Act and (B) such offering of Shares is otherwise being offered only to accredited investors.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rights provided in this Section 2.4 may be assigned and transferred by any Investor and shall be linked to the Preferred Stock.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covenants set forth in this Section 2.4 shall terminate and be of no further force or effect upon the consummation of (i) the Initial Offering or (ii) a Liquidation Event, as that term is defined in the Restated Certificate. </w:t>
      </w:r>
    </w:p>
    <w:p>
      <w:pPr>
        <w:pStyle w:val="TextBody"/>
        <w:bidi w:val="0"/>
        <w:spacing w:before="240" w:after="0"/>
        <w:jc w:val="left"/>
        <w:rPr>
          <w:rFonts w:ascii="Times New Roman" w:hAnsi="Times New Roman"/>
          <w:sz w:val="20"/>
        </w:rPr>
      </w:pPr>
      <w:r>
        <w:rPr>
          <w:rFonts w:ascii="Times New Roman" w:hAnsi="Times New Roman"/>
          <w:b/>
          <w:sz w:val="20"/>
        </w:rPr>
        <w:t xml:space="preserve">2.5 </w:t>
      </w:r>
      <w:r>
        <w:rPr>
          <w:rFonts w:ascii="Times New Roman" w:hAnsi="Times New Roman"/>
          <w:b/>
          <w:sz w:val="20"/>
          <w:u w:val="single"/>
        </w:rPr>
        <w:t>Observer Rights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As long as the Group A Investors hold fifty percent (50%) of the shares of Series A Preferred Stock originally purchased by them (as adjusted for any stock split, stock dividend, combination, or other recapitalization or reclassification effected after the date hereof), the Company shall invite a representative of Group A Investors (the </w:t>
      </w:r>
      <w:r>
        <w:rPr>
          <w:rFonts w:ascii="Times New Roman" w:hAnsi="Times New Roman"/>
          <w:b/>
          <w:sz w:val="20"/>
          <w:u w:val="single"/>
        </w:rPr>
        <w:t>Group A Observer</w:t>
      </w:r>
      <w:r>
        <w:rPr>
          <w:rFonts w:ascii="Times New Roman" w:hAnsi="Times New Roman"/>
          <w:sz w:val="20"/>
        </w:rPr>
        <w:t xml:space="preserve">) to attend all regularly scheduled meetings of its Board of Directors in a nonvoting observer capacity and, in this respect, shall give such representative copies of all notices, minutes, consents, and other materials that it provides to its directors; provided, however, that the Group A Observers Rights under this Section 2.5(a) shall be subject to the limitations of Section 2.5(d) hereof.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As long as the Group B Investors hold fifty percent (50%) of the shares of Series A Preferred Stock originally purchased by them (as adjusted for any stock split, stock dividend, combination, or other recapitalization or reclassification effected after the date hereof), the Company shall invite a representative of Group B Investors, initially Norman Godinho (the </w:t>
      </w:r>
      <w:r>
        <w:rPr>
          <w:rFonts w:ascii="Times New Roman" w:hAnsi="Times New Roman"/>
          <w:b/>
          <w:sz w:val="20"/>
          <w:u w:val="single"/>
        </w:rPr>
        <w:t>Group B Observer</w:t>
      </w:r>
      <w:r>
        <w:rPr>
          <w:rFonts w:ascii="Times New Roman" w:hAnsi="Times New Roman"/>
          <w:sz w:val="20"/>
        </w:rPr>
        <w:t xml:space="preserve">), to attend all regularly scheduled meetings of its Board of Directors in a nonvoting observer capacity and, in this respect, shall give such representative copies of all notices, minutes, consents, and other materials that it provides to its directors; provided, however, that the Group B Observers Rights under this Section 2.5(b) shall be subject to the limitations of Section 2.5(d) hereof.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the event that Casey Morrison is not a member of the Companys Board of Directors, the Company shall invite Casey Morrison (the </w:t>
      </w:r>
      <w:r>
        <w:rPr>
          <w:rFonts w:ascii="Times New Roman" w:hAnsi="Times New Roman"/>
          <w:b/>
          <w:sz w:val="20"/>
          <w:u w:val="single"/>
        </w:rPr>
        <w:t>Founder Observer</w:t>
      </w:r>
      <w:r>
        <w:rPr>
          <w:rFonts w:ascii="Times New Roman" w:hAnsi="Times New Roman"/>
          <w:sz w:val="20"/>
        </w:rPr>
        <w:t xml:space="preserve">) to attend all regularly scheduled meetings of its Board of Directors in a nonvoting observer capacity for as long as he remains an employee or consultant of the Company and holds at least fifty percent (50%) of the Common Stock held by him as of the date hereof (as adjusted for any stock split, stock dividend, combination, or other recapitalization or reclassification effected after the date hereof). The Company will provide the Founder Observer with copies of all notices, minutes, consents, and other materials that it provides to its directors; provided, however, that the Founder Observers rights under this Section 2.5(c) shall be subject to the limitations of Section 2.5(d)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Notwithstanding anything herein to the contrary, the rights of each of the Group A Observer, the Group B Observer, and the Founder Observer shall each be subject to such observer agreeing to holding in confidence and trust all information so provided, except to the extent otherwise required by law and any other regulatory process to which the Group A Investors, the Group B Investors, or the Founder Observer is subject. Notwithstanding anything herein to the contrary, the Company reserves the right to withhold any information and to exclude any observer designated pursuant to this Section 2.5 from any meeting or portion thereof if such observers access to such information or attendance at such meeting could adversely affect the attorney-client privilege between the Company and its counsel, result in disclosure of trade secrets or confidential information or result in a conflict of interest.</w:t>
      </w:r>
    </w:p>
    <w:p>
      <w:pPr>
        <w:pStyle w:val="TextBody"/>
        <w:bidi w:val="0"/>
        <w:spacing w:before="240" w:after="0"/>
        <w:jc w:val="left"/>
        <w:rPr>
          <w:rFonts w:ascii="Times New Roman" w:hAnsi="Times New Roman"/>
          <w:sz w:val="20"/>
        </w:rPr>
      </w:pPr>
      <w:r>
        <w:rPr>
          <w:rFonts w:ascii="Times New Roman" w:hAnsi="Times New Roman"/>
          <w:b/>
          <w:sz w:val="20"/>
        </w:rPr>
        <w:t xml:space="preserve">2.6 </w:t>
      </w:r>
      <w:r>
        <w:rPr>
          <w:rFonts w:ascii="Times New Roman" w:hAnsi="Times New Roman"/>
          <w:b/>
          <w:sz w:val="20"/>
          <w:u w:val="single"/>
        </w:rPr>
        <w:t>Reserved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Publicity</w:t>
      </w:r>
      <w:r>
        <w:rPr>
          <w:rFonts w:ascii="Times New Roman" w:hAnsi="Times New Roman"/>
          <w:b/>
          <w:sz w:val="20"/>
        </w:rPr>
        <w:t>.</w:t>
      </w:r>
      <w:r>
        <w:rPr>
          <w:rFonts w:ascii="Times New Roman" w:hAnsi="Times New Roman"/>
          <w:sz w:val="20"/>
        </w:rPr>
        <w:t xml:space="preserve"> The Company shall not use any of the names of the Group A Investors in any manner, context or format (including reference on or links to websites, press releases, etc.), without such partys prior approval.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Termination of Covenants</w:t>
      </w:r>
      <w:r>
        <w:rPr>
          <w:rFonts w:ascii="Times New Roman" w:hAnsi="Times New Roman"/>
          <w:sz w:val="20"/>
        </w:rPr>
        <w:t xml:space="preserve">. The covenants set forth in this Section 2 (other than those set forth in Sections 2.3, 2.9 and 2.13) shall terminate and be of no further force or effect upon the earlier to occur of (a) the consummation of the Initial Offering, or (b) the consummation of a Liquidation Event, as that term is defined in the Restated Certificate. Notwithstanding the foregoing, the covenants set forth in Section 2.5 hereof may terminate earlier in accordance with its express terms. </w:t>
      </w:r>
    </w:p>
    <w:p>
      <w:pPr>
        <w:pStyle w:val="TextBody"/>
        <w:bidi w:val="0"/>
        <w:spacing w:before="24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The Company hereby acknowledges that one (1) or more of the directors nominated to serve on the Board of Directors by an Investor that is a venture capital fund (each a </w:t>
      </w:r>
      <w:r>
        <w:rPr>
          <w:rFonts w:ascii="Times New Roman" w:hAnsi="Times New Roman"/>
          <w:b/>
          <w:sz w:val="20"/>
          <w:u w:val="single"/>
        </w:rPr>
        <w:t>Fund Director</w:t>
      </w:r>
      <w:r>
        <w:rPr>
          <w:rFonts w:ascii="Times New Roman" w:hAnsi="Times New Roman"/>
          <w:sz w:val="20"/>
        </w:rPr>
        <w:t>) may have certain rights to indemnification, advancement of expenses and/or insurance provided by such Investor and certain of its affiliates (collectively, the </w:t>
      </w:r>
      <w:r>
        <w:rPr>
          <w:rFonts w:ascii="Times New Roman" w:hAnsi="Times New Roman"/>
          <w:b/>
          <w:sz w:val="20"/>
          <w:u w:val="single"/>
        </w:rPr>
        <w:t>Fund Indemnitors</w:t>
      </w:r>
      <w:r>
        <w:rPr>
          <w:rFonts w:ascii="Times New Roman" w:hAnsi="Times New Roman"/>
          <w:sz w:val="20"/>
        </w:rPr>
        <w:t xml:space="preserve">).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Board Committees</w:t>
      </w:r>
      <w:r>
        <w:rPr>
          <w:rFonts w:ascii="Times New Roman" w:hAnsi="Times New Roman"/>
          <w:b/>
          <w:sz w:val="20"/>
        </w:rPr>
        <w:t xml:space="preserve">. </w:t>
      </w:r>
      <w:r>
        <w:rPr>
          <w:rFonts w:ascii="Times New Roman" w:hAnsi="Times New Roman"/>
          <w:sz w:val="20"/>
        </w:rPr>
        <w:t xml:space="preserve">Any committee or subcommittee of the Board of Directors shall include each Preferred Director, unless any non-participation by such Preferred Director in respect of such committee or subcommittee is agreed to in advance by such Preferred Director.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Business Plan</w:t>
      </w:r>
      <w:r>
        <w:rPr>
          <w:rFonts w:ascii="Times New Roman" w:hAnsi="Times New Roman"/>
          <w:sz w:val="20"/>
        </w:rPr>
        <w:t>. The management of the Company shall establish annually a business plan and budget for the Company (the </w:t>
      </w:r>
      <w:r>
        <w:rPr>
          <w:rFonts w:ascii="Times New Roman" w:hAnsi="Times New Roman"/>
          <w:b/>
          <w:sz w:val="20"/>
          <w:u w:val="single"/>
        </w:rPr>
        <w:t>Annual</w:t>
      </w:r>
      <w:r>
        <w:rPr>
          <w:rFonts w:ascii="Times New Roman" w:hAnsi="Times New Roman"/>
          <w:sz w:val="20"/>
          <w:u w:val="single"/>
        </w:rPr>
        <w:t xml:space="preserve"> </w:t>
      </w:r>
      <w:r>
        <w:rPr>
          <w:rFonts w:ascii="Times New Roman" w:hAnsi="Times New Roman"/>
          <w:b/>
          <w:sz w:val="20"/>
          <w:u w:val="single"/>
        </w:rPr>
        <w:t>Budget</w:t>
      </w:r>
      <w:r>
        <w:rPr>
          <w:rFonts w:ascii="Times New Roman" w:hAnsi="Times New Roman"/>
          <w:sz w:val="20"/>
        </w:rPr>
        <w:t xml:space="preserve">), in consultation with the Board of Directors. The Annual Budget for the following year shall be submitted to the Board of Directors for its approval at least thirty (30) days prior to the first day of the year covered by such Annual Budget (or such later date as shall be unanimously approved by the Board of Directors). The Annual Budget may be modified from time to time with the approval of the Board of Directors.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Options to Employees</w:t>
      </w:r>
      <w:r>
        <w:rPr>
          <w:rFonts w:ascii="Times New Roman" w:hAnsi="Times New Roman"/>
          <w:sz w:val="20"/>
        </w:rPr>
        <w:t xml:space="preserve">. Unless otherwise approved by the Board of Directors, including all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minimum period of four (4) years, with the first twenty-five percent (25%) of such shares vesting following twelve (12) months of continued employment or service, and the remaining shares vesting in equal monthly installments over the following thirty-six (36) months, and (ii) a market stand-off provision at least as restrictive as that in Section 1.13. In addition, unless otherwise approved by the Board of Directors, including all of the Preferred Directors, the Company shall retain a right of first refusal on employee transfers until the Companys Initial Offering and shall have the right to repurchase unvested shares at cost upon termination of employment of a holder of restricted stock.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Successor Indemnification</w:t>
      </w:r>
      <w:r>
        <w:rPr>
          <w:rFonts w:ascii="Times New Roman" w:hAnsi="Times New Roman"/>
          <w:sz w:val="20"/>
        </w:rPr>
        <w:t xml:space="preserve">. If the Company or any of its successors or assignees consolidates with or merges into any other person or otherwise consummates a Liquidation Event (as such term is defined in the Restated Certificate) and is not the continuing or surviving corporation or entity of such consolidation or merger or Liquidation Event,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Restated Certificate, or elsewhere, as the case may be.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Governing Law; Jurisdiction</w:t>
      </w:r>
      <w:r>
        <w:rPr>
          <w:rFonts w:ascii="Times New Roman" w:hAnsi="Times New Roman"/>
          <w:sz w:val="20"/>
        </w:rPr>
        <w:t xml:space="preserve">. This Agreement and any controversy arising out of or relating to this Agreement shall be governed by and construed in accordance with the internal laws of the State of Delaware, regardless of the laws that might otherwise govern under applicable principles of conflicts of law. The parties hereby irrevocably and unconditionally submit to the jurisdiction of the federal and state courts located within the geographic boundaries of the United States District Court for the Northern District of California and agree not to commence any suit, action or other proceeding arising out of or based upon this Agreement except in the federal and state courts located within the geographic boundaries of the United States District Court for the Northern District of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The terms and conditions of this Agreement shall inure to the benefit of and be binding upon the respective successors and assigns of the parties (including transferees of any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Counterparts; Facsimile</w:t>
      </w:r>
      <w:r>
        <w:rPr>
          <w:rFonts w:ascii="Times New Roman" w:hAnsi="Times New Roman"/>
          <w:sz w:val="20"/>
        </w:rPr>
        <w:t xml:space="preserve">. This Agreement may be executed and delivered by facsimile or other electronic signature and in two or more counterparts, each of which shall be deemed an original, but all of which together shall constitute one and the same instrument. Counterparts may be delivered by facsimile, electronic mail (including pdf)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General</w:t>
      </w:r>
      <w:r>
        <w:rPr>
          <w:rFonts w:ascii="Times New Roman" w:hAnsi="Times New Roman"/>
          <w:sz w:val="20"/>
        </w:rPr>
        <w:t xml:space="preserve">. All notices and other communications given or made pursuant hereto shall be in writing and shall be deemed effectively given: (i) upon personal delivery to the party to be notified, (ii) when sent by confirmed electronic mail or facsimile if sent during normal business hours of the recipient; if not, then on the next business day, (iii) with respect to U.S. persons, five (5) days after having been sent by registered or certified mail, return receipt requested, postage prepaid or (iv) upon receipt if sending through a recognized courier with written verification of receipt. All communications shall be sent to the respective parties at the addresses set forth on Exhibit A or the signature pages attached hereto (or at such other addresses as shall be specified by notice given in accordance with this Section 3.5). If notice is given to the Company, a copy (not constituting notice) shall also be sent to Goodwin Procter LLP, 601 Marshall Street, Redwood City, CA 94063, Attention: Heidi Mayon; if notice is given to an Investor holding shares of Series A Preferred Stock, a copy (not constituting notice) shall also be sent to Yigal Arnon &amp; Co., 1 Azrieli Center, 46th Floor, Tel Aviv, Israel, 6702101, attn. Orly Tsioni .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Consent to Electronic Notice</w:t>
      </w:r>
      <w:r>
        <w:rPr>
          <w:rFonts w:ascii="Times New Roman" w:hAnsi="Times New Roman"/>
          <w:sz w:val="20"/>
        </w:rPr>
        <w:t>. Each Investor consents to the delivery of any stockholder notice pursuant to the Delaware General Corporation Law (the </w:t>
      </w:r>
      <w:r>
        <w:rPr>
          <w:rFonts w:ascii="Times New Roman" w:hAnsi="Times New Roman"/>
          <w:b/>
          <w:sz w:val="20"/>
          <w:u w:val="single"/>
        </w:rPr>
        <w:t>DGCL</w:t>
      </w:r>
      <w:r>
        <w:rPr>
          <w:rFonts w:ascii="Times New Roman" w:hAnsi="Times New Roman"/>
          <w:sz w:val="20"/>
        </w:rPr>
        <w:t xml:space="preserve">), as amended or superseded from time to time, by electronic transmission pursuant to Section 232 of the DGCL (or any successor thereto) at the electronic mail address set forth below such Investors name on </w:t>
      </w:r>
      <w:r>
        <w:rPr>
          <w:rFonts w:ascii="Times New Roman" w:hAnsi="Times New Roman"/>
          <w:sz w:val="20"/>
          <w:u w:val="single"/>
        </w:rPr>
        <w:t>Schedule A</w:t>
      </w:r>
      <w:r>
        <w:rPr>
          <w:rFonts w:ascii="Times New Roman" w:hAnsi="Times New Roman"/>
          <w:sz w:val="20"/>
        </w:rPr>
        <w:t xml:space="preserve"> hereto, as updated from time to time by notice to the Company, or as on the books of the Company. Each Investor agrees to promptly notify the Company of any change in its electronic mail address, and that failure to do so shall not affect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Amendments and Waivers</w:t>
      </w:r>
      <w:r>
        <w:rPr>
          <w:rFonts w:ascii="Times New Roman" w:hAnsi="Times New Roman"/>
          <w:sz w:val="20"/>
        </w:rPr>
        <w:t>. Any term of this Agreement may be amended and the observance of any term of this Agreement may be waived (either generally or in a particular instance and either retroactively or prospectively), only with the written consent of the Company and the Investor Consent. Any amendment or waiver effected in accordance with this section shall be binding upon each holder of any Registrable Securities, each future holder of all such securities, and the Company. Notwithstanding the foregoing, no consent shall be necessary to add additional persons that purchase Series D Preferred Stock of the Company as Investors under the Purchase Agreement. The </w:t>
      </w:r>
      <w:r>
        <w:rPr>
          <w:rFonts w:ascii="Times New Roman" w:hAnsi="Times New Roman"/>
          <w:b/>
          <w:sz w:val="20"/>
          <w:u w:val="single"/>
        </w:rPr>
        <w:t>Investor Consent</w:t>
      </w:r>
      <w:r>
        <w:rPr>
          <w:rFonts w:ascii="Times New Roman" w:hAnsi="Times New Roman"/>
          <w:sz w:val="20"/>
        </w:rPr>
        <w:t xml:space="preserve"> means the affirmative vote or written consent of Investors holding at least 60% of the shares of Common Stock issuable or issued upon conversion of shares of Preferred Stock. Notwithstanding the foregoing, this Agreement may not be amended, modified or terminated and the observance of any term hereof may not be waived with respect to any Fidelity Investor (as defined below) without the written consent of the Fidelity Investors holding a majority of the Registrable Securities held by the Fidelity Investors, unless such amendment, modification, termination, or waiver applies to all Investors in the same fashion. </w:t>
      </w:r>
    </w:p>
    <w:p>
      <w:pPr>
        <w:pStyle w:val="TextBody"/>
        <w:bidi w:val="0"/>
        <w:spacing w:before="240" w:after="0"/>
        <w:jc w:val="left"/>
        <w:rPr>
          <w:rFonts w:ascii="Times New Roman" w:hAnsi="Times New Roman"/>
          <w:sz w:val="20"/>
        </w:rPr>
      </w:pPr>
      <w:r>
        <w:rPr>
          <w:rFonts w:ascii="Times New Roman" w:hAnsi="Times New Roman"/>
          <w:b/>
          <w:sz w:val="20"/>
        </w:rPr>
        <w:t>3.7</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3.8</w:t>
      </w:r>
      <w:r>
        <w:rPr>
          <w:rFonts w:ascii="Times New Roman" w:hAnsi="Times New Roman"/>
          <w:sz w:val="20"/>
        </w:rPr>
        <w:t xml:space="preserve"> </w:t>
      </w:r>
      <w:r>
        <w:rPr>
          <w:rFonts w:ascii="Times New Roman" w:hAnsi="Times New Roman"/>
          <w:b/>
          <w:sz w:val="20"/>
          <w:u w:val="single"/>
        </w:rPr>
        <w:t>Aggregation of Stock</w:t>
      </w:r>
      <w:r>
        <w:rPr>
          <w:rFonts w:ascii="Times New Roman" w:hAnsi="Times New Roman"/>
          <w:sz w:val="20"/>
        </w:rPr>
        <w:t xml:space="preserve">. All Registrable Securities held or acquired by Affiliates shall be aggregated together for the purpose of determining the availability of any rights under this Agreement. </w:t>
      </w:r>
    </w:p>
    <w:p>
      <w:pPr>
        <w:pStyle w:val="TextBody"/>
        <w:bidi w:val="0"/>
        <w:spacing w:before="240" w:after="0"/>
        <w:jc w:val="left"/>
        <w:rPr>
          <w:rFonts w:ascii="Times New Roman" w:hAnsi="Times New Roman"/>
          <w:sz w:val="20"/>
        </w:rPr>
      </w:pPr>
      <w:r>
        <w:rPr>
          <w:rFonts w:ascii="Times New Roman" w:hAnsi="Times New Roman"/>
          <w:b/>
          <w:sz w:val="20"/>
        </w:rPr>
        <w:t>3.9</w:t>
      </w:r>
      <w:r>
        <w:rPr>
          <w:rFonts w:ascii="Times New Roman" w:hAnsi="Times New Roman"/>
          <w:sz w:val="20"/>
        </w:rPr>
        <w:t xml:space="preserve"> </w:t>
      </w:r>
      <w:r>
        <w:rPr>
          <w:rFonts w:ascii="Times New Roman" w:hAnsi="Times New Roman"/>
          <w:b/>
          <w:sz w:val="20"/>
          <w:u w:val="single"/>
        </w:rPr>
        <w:t>Delays or Omissions</w:t>
      </w:r>
      <w:r>
        <w:rPr>
          <w:rFonts w:ascii="Times New Roman" w:hAnsi="Times New Roman"/>
          <w:sz w:val="20"/>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previously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 </w:t>
      </w:r>
    </w:p>
    <w:p>
      <w:pPr>
        <w:pStyle w:val="TextBody"/>
        <w:bidi w:val="0"/>
        <w:spacing w:before="240" w:after="0"/>
        <w:jc w:val="left"/>
        <w:rPr>
          <w:rFonts w:ascii="Times New Roman" w:hAnsi="Times New Roman"/>
          <w:sz w:val="20"/>
        </w:rPr>
      </w:pPr>
      <w:r>
        <w:rPr>
          <w:rFonts w:ascii="Times New Roman" w:hAnsi="Times New Roman"/>
          <w:b/>
          <w:sz w:val="20"/>
        </w:rPr>
        <w:t>3.10</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(including the Exhibits hereto), the Purchase Agreement, the Restated Certificate and the other Ancillary Agreements, as defined in the Purchase Agreement, constitute the full and entire understanding and agreement between the parties with respect to the subject matter hereof, and any other written or oral agreement relating to the subject matter hereof existing between the parties are expressly canceled. Upon the effectiveness of this Agreement, the Prior Agreement shall be deemed amended and restated to read in its entirety as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3.11</w:t>
      </w:r>
      <w:r>
        <w:rPr>
          <w:rFonts w:ascii="Times New Roman" w:hAnsi="Times New Roman"/>
          <w:sz w:val="20"/>
        </w:rPr>
        <w:t xml:space="preserve"> </w:t>
      </w:r>
      <w:r>
        <w:rPr>
          <w:rFonts w:ascii="Times New Roman" w:hAnsi="Times New Roman"/>
          <w:b/>
          <w:sz w:val="20"/>
          <w:u w:val="single"/>
        </w:rPr>
        <w:t>Massachusetts Business Trust</w:t>
      </w:r>
      <w:r>
        <w:rPr>
          <w:rFonts w:ascii="Times New Roman" w:hAnsi="Times New Roman"/>
          <w:sz w:val="20"/>
        </w:rPr>
        <w:t>. A copy of the Agreement and Declaration of Trust of each Fidelity Investor or any Affiliate thereof is on file with the Secretary of State of the Commonwealth of Massachusetts and notice is hereby given that this Agreement has been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 </w:t>
      </w:r>
      <w:r>
        <w:rPr>
          <w:rFonts w:ascii="Times New Roman" w:hAnsi="Times New Roman"/>
          <w:b/>
          <w:sz w:val="20"/>
        </w:rPr>
        <w:t>Fidelity Investors</w:t>
      </w:r>
      <w:r>
        <w:rPr>
          <w:rFonts w:ascii="Times New Roman" w:hAnsi="Times New Roman"/>
          <w:sz w:val="20"/>
        </w:rPr>
        <w:t xml:space="preserve"> means the Investors that are advisory or sub-advisory clients of Fidelity Management &amp; Research Company LLC and any successor or affiliated registered investment adviser.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ASTERA LABS,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94"/>
        <w:gridCol w:w="60"/>
        <w:gridCol w:w="3228"/>
      </w:tblGrid>
      <w:tr>
        <w:trPr/>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7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60" w:type="dxa"/>
            <w:tcBorders/>
            <w:vAlign w:val="bottom"/>
          </w:tcPr>
          <w:p>
            <w:pPr>
              <w:pStyle w:val="TableContents"/>
              <w:bidi w:val="0"/>
              <w:spacing w:before="0" w:after="283"/>
              <w:jc w:val="left"/>
              <w:rPr/>
            </w:pPr>
            <w:r>
              <w:rPr/>
              <w:t> </w:t>
            </w:r>
          </w:p>
        </w:tc>
        <w:tc>
          <w:tcPr>
            <w:tcW w:w="3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2901 Tasman Drive, Suite 204</w:t>
            </w:r>
          </w:p>
        </w:tc>
      </w:tr>
      <w:tr>
        <w:trPr/>
        <w:tc>
          <w:tcPr>
            <w:tcW w:w="7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Santa Clara, CA 95054</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4"/>
        <w:gridCol w:w="60"/>
        <w:gridCol w:w="3398"/>
      </w:tblGrid>
      <w:tr>
        <w:trPr/>
        <w:tc>
          <w:tcPr>
            <w:tcW w:w="62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GROUP A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SZILAGYI FAMILY TRUST</w:t>
            </w:r>
          </w:p>
        </w:tc>
      </w:tr>
      <w:tr>
        <w:trPr>
          <w:trHeight w:val="240" w:hRule="atLeast"/>
        </w:trPr>
        <w:tc>
          <w:tcPr>
            <w:tcW w:w="624" w:type="dxa"/>
            <w:tcBorders/>
            <w:vAlign w:val="center"/>
          </w:tcPr>
          <w:p>
            <w:pPr>
              <w:pStyle w:val="TableContents"/>
              <w:bidi w:val="0"/>
              <w:spacing w:before="0" w:after="283"/>
              <w:jc w:val="left"/>
              <w:rPr>
                <w:sz w:val="4"/>
                <w:szCs w:val="4"/>
              </w:rPr>
            </w:pPr>
            <w:r>
              <w:rPr>
                <w:sz w:val="4"/>
                <w:szCs w:val="4"/>
              </w:rPr>
            </w:r>
          </w:p>
        </w:tc>
        <w:tc>
          <w:tcPr>
            <w:tcW w:w="3458" w:type="dxa"/>
            <w:gridSpan w:val="2"/>
            <w:tcBorders/>
            <w:vAlign w:val="center"/>
          </w:tcPr>
          <w:p>
            <w:pPr>
              <w:pStyle w:val="TableContents"/>
              <w:bidi w:val="0"/>
              <w:spacing w:before="0" w:after="283"/>
              <w:jc w:val="left"/>
              <w:rPr>
                <w:sz w:val="4"/>
                <w:szCs w:val="4"/>
              </w:rPr>
            </w:pPr>
            <w:r>
              <w:rPr>
                <w:sz w:val="4"/>
                <w:szCs w:val="4"/>
              </w:rPr>
            </w:r>
          </w:p>
        </w:tc>
      </w:tr>
      <w:tr>
        <w:trPr/>
        <w:tc>
          <w:tcPr>
            <w:tcW w:w="62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/s/ Gary Szilagyi</w:t>
            </w:r>
          </w:p>
        </w:tc>
      </w:tr>
      <w:tr>
        <w:trPr/>
        <w:tc>
          <w:tcPr>
            <w:tcW w:w="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Gary Szilagyi</w:t>
            </w:r>
          </w:p>
        </w:tc>
      </w:tr>
      <w:tr>
        <w:trPr/>
        <w:tc>
          <w:tcPr>
            <w:tcW w:w="6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GROUP A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Adv. Orly Tsioni</w:t>
            </w:r>
          </w:p>
        </w:tc>
      </w:tr>
      <w:tr>
        <w:trPr/>
        <w:tc>
          <w:tcPr>
            <w:tcW w:w="4082" w:type="dxa"/>
            <w:tcBorders/>
          </w:tcPr>
          <w:p>
            <w:pPr>
              <w:pStyle w:val="TableContents"/>
              <w:bidi w:val="0"/>
              <w:spacing w:before="0" w:after="283"/>
              <w:jc w:val="left"/>
              <w:rPr>
                <w:b/>
              </w:rPr>
            </w:pPr>
            <w:r>
              <w:rPr>
                <w:b/>
              </w:rPr>
              <w:t>ADV. ORLY TSIONI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Adv. Orly Tsioni</w:t>
            </w:r>
          </w:p>
        </w:tc>
      </w:tr>
      <w:tr>
        <w:trPr/>
        <w:tc>
          <w:tcPr>
            <w:tcW w:w="4082" w:type="dxa"/>
            <w:tcBorders/>
          </w:tcPr>
          <w:p>
            <w:pPr>
              <w:pStyle w:val="TableContents"/>
              <w:bidi w:val="0"/>
              <w:spacing w:before="0" w:after="283"/>
              <w:jc w:val="left"/>
              <w:rPr>
                <w:b/>
              </w:rPr>
            </w:pPr>
            <w:r>
              <w:rPr>
                <w:b/>
              </w:rPr>
              <w:t>ADV. ORLY TSIONI</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5"/>
        <w:gridCol w:w="61"/>
        <w:gridCol w:w="3298"/>
        <w:gridCol w:w="23"/>
        <w:gridCol w:w="25"/>
      </w:tblGrid>
      <w:tr>
        <w:trPr/>
        <w:tc>
          <w:tcPr>
            <w:tcW w:w="67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c>
          <w:tcPr>
            <w:tcW w:w="4034" w:type="dxa"/>
            <w:gridSpan w:val="3"/>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GROUP A INVESTORS:</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ALBA 2003 LIVING TRUST</w:t>
            </w:r>
          </w:p>
        </w:tc>
        <w:tc>
          <w:tcPr>
            <w:tcW w:w="23" w:type="dxa"/>
            <w:tcBorders/>
          </w:tcPr>
          <w:p>
            <w:pPr>
              <w:pStyle w:val="TableContents"/>
              <w:bidi w:val="0"/>
              <w:spacing w:before="0" w:after="283"/>
              <w:jc w:val="left"/>
              <w:rPr>
                <w:sz w:val="4"/>
                <w:szCs w:val="4"/>
              </w:rPr>
            </w:pPr>
            <w:r>
              <w:rPr>
                <w:sz w:val="4"/>
                <w:szCs w:val="4"/>
              </w:rPr>
            </w:r>
          </w:p>
        </w:tc>
        <w:tc>
          <w:tcPr>
            <w:tcW w:w="25" w:type="dxa"/>
            <w:tcBorders/>
          </w:tcPr>
          <w:p>
            <w:pPr>
              <w:pStyle w:val="TableContents"/>
              <w:bidi w:val="0"/>
              <w:spacing w:before="0" w:after="283"/>
              <w:jc w:val="left"/>
              <w:rPr>
                <w:sz w:val="4"/>
                <w:szCs w:val="4"/>
              </w:rPr>
            </w:pPr>
            <w:r>
              <w:rPr>
                <w:sz w:val="4"/>
                <w:szCs w:val="4"/>
              </w:rPr>
            </w:r>
          </w:p>
        </w:tc>
      </w:tr>
      <w:tr>
        <w:trPr>
          <w:trHeight w:val="240" w:hRule="atLeast"/>
        </w:trPr>
        <w:tc>
          <w:tcPr>
            <w:tcW w:w="4034" w:type="dxa"/>
            <w:gridSpan w:val="3"/>
            <w:vMerge w:val="continue"/>
            <w:tcBorders/>
          </w:tcPr>
          <w:p>
            <w:pPr>
              <w:pStyle w:val="Normal"/>
              <w:bidi w:val="0"/>
              <w:jc w:val="left"/>
              <w:rPr/>
            </w:pPr>
            <w:r>
              <w:rPr/>
            </w:r>
          </w:p>
        </w:tc>
        <w:tc>
          <w:tcPr>
            <w:tcW w:w="23" w:type="dxa"/>
            <w:tcBorders/>
            <w:vAlign w:val="center"/>
          </w:tcPr>
          <w:p>
            <w:pPr>
              <w:pStyle w:val="TableContents"/>
              <w:bidi w:val="0"/>
              <w:spacing w:before="0" w:after="283"/>
              <w:jc w:val="left"/>
              <w:rPr>
                <w:sz w:val="4"/>
                <w:szCs w:val="4"/>
              </w:rPr>
            </w:pPr>
            <w:r>
              <w:rPr>
                <w:sz w:val="4"/>
                <w:szCs w:val="4"/>
              </w:rPr>
            </w:r>
          </w:p>
        </w:tc>
        <w:tc>
          <w:tcPr>
            <w:tcW w:w="25" w:type="dxa"/>
            <w:tcBorders/>
            <w:vAlign w:val="center"/>
          </w:tcPr>
          <w:p>
            <w:pPr>
              <w:pStyle w:val="TableContents"/>
              <w:bidi w:val="0"/>
              <w:spacing w:before="0" w:after="283"/>
              <w:jc w:val="left"/>
              <w:rPr>
                <w:sz w:val="4"/>
                <w:szCs w:val="4"/>
              </w:rPr>
            </w:pPr>
            <w:r>
              <w:rPr>
                <w:sz w:val="4"/>
                <w:szCs w:val="4"/>
              </w:rPr>
            </w:r>
          </w:p>
        </w:tc>
      </w:tr>
      <w:tr>
        <w:trPr/>
        <w:tc>
          <w:tcPr>
            <w:tcW w:w="67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98" w:type="dxa"/>
            <w:tcBorders>
              <w:bottom w:val="single" w:sz="2" w:space="0" w:color="000000"/>
            </w:tcBorders>
            <w:tcMar>
              <w:bottom w:w="28" w:type="dxa"/>
            </w:tcMar>
          </w:tcPr>
          <w:p>
            <w:pPr>
              <w:pStyle w:val="TableContents"/>
              <w:bidi w:val="0"/>
              <w:spacing w:before="0" w:after="283"/>
              <w:jc w:val="left"/>
              <w:rPr/>
            </w:pPr>
            <w:r>
              <w:rPr/>
              <w:t>/s/ Manuel Alba</w:t>
            </w:r>
          </w:p>
        </w:tc>
        <w:tc>
          <w:tcPr>
            <w:tcW w:w="48" w:type="dxa"/>
            <w:gridSpan w:val="2"/>
            <w:tcBorders/>
          </w:tcPr>
          <w:p>
            <w:pPr>
              <w:pStyle w:val="TableContents"/>
              <w:bidi w:val="0"/>
              <w:spacing w:before="0" w:after="283"/>
              <w:jc w:val="left"/>
              <w:rPr>
                <w:sz w:val="4"/>
                <w:szCs w:val="4"/>
              </w:rPr>
            </w:pPr>
            <w:r>
              <w:rPr>
                <w:sz w:val="4"/>
                <w:szCs w:val="4"/>
              </w:rPr>
            </w:r>
          </w:p>
        </w:tc>
      </w:tr>
      <w:tr>
        <w:trPr/>
        <w:tc>
          <w:tcPr>
            <w:tcW w:w="67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98" w:type="dxa"/>
            <w:tcBorders/>
            <w:vAlign w:val="bottom"/>
          </w:tcPr>
          <w:p>
            <w:pPr>
              <w:pStyle w:val="TableContents"/>
              <w:bidi w:val="0"/>
              <w:spacing w:before="0" w:after="283"/>
              <w:jc w:val="left"/>
              <w:rPr/>
            </w:pPr>
            <w:r>
              <w:rPr/>
              <w:t>Manuel Alba</w:t>
            </w:r>
          </w:p>
        </w:tc>
        <w:tc>
          <w:tcPr>
            <w:tcW w:w="48" w:type="dxa"/>
            <w:gridSpan w:val="2"/>
            <w:tcBorders/>
          </w:tcPr>
          <w:p>
            <w:pPr>
              <w:pStyle w:val="TableContents"/>
              <w:bidi w:val="0"/>
              <w:spacing w:before="0" w:after="283"/>
              <w:jc w:val="left"/>
              <w:rPr>
                <w:sz w:val="4"/>
                <w:szCs w:val="4"/>
              </w:rPr>
            </w:pPr>
            <w:r>
              <w:rPr>
                <w:sz w:val="4"/>
                <w:szCs w:val="4"/>
              </w:rPr>
            </w:r>
          </w:p>
        </w:tc>
      </w:tr>
      <w:tr>
        <w:trPr/>
        <w:tc>
          <w:tcPr>
            <w:tcW w:w="67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98" w:type="dxa"/>
            <w:tcBorders/>
            <w:vAlign w:val="bottom"/>
          </w:tcPr>
          <w:p>
            <w:pPr>
              <w:pStyle w:val="TableContents"/>
              <w:bidi w:val="0"/>
              <w:spacing w:before="0" w:after="283"/>
              <w:jc w:val="left"/>
              <w:rPr/>
            </w:pPr>
            <w:r>
              <w:rPr/>
              <w:t>Trustee</w:t>
            </w:r>
          </w:p>
        </w:tc>
        <w:tc>
          <w:tcPr>
            <w:tcW w:w="4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3"/>
        <w:gridCol w:w="61"/>
        <w:gridCol w:w="3328"/>
      </w:tblGrid>
      <w:tr>
        <w:trPr/>
        <w:tc>
          <w:tcPr>
            <w:tcW w:w="69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A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MAR 2011 CHILDRENS TRUST</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Manuel Alba</w:t>
            </w:r>
          </w:p>
        </w:tc>
      </w:tr>
      <w:tr>
        <w:trPr/>
        <w:tc>
          <w:tcPr>
            <w:tcW w:w="693"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Manuel Alba</w:t>
            </w:r>
          </w:p>
        </w:tc>
      </w:tr>
      <w:tr>
        <w:trPr/>
        <w:tc>
          <w:tcPr>
            <w:tcW w:w="693"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28" w:type="dxa"/>
            <w:tcBorders/>
            <w:vAlign w:val="bottom"/>
          </w:tcPr>
          <w:p>
            <w:pPr>
              <w:pStyle w:val="TableContents"/>
              <w:bidi w:val="0"/>
              <w:spacing w:before="0" w:after="283"/>
              <w:jc w:val="left"/>
              <w:rPr/>
            </w:pPr>
            <w:r>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A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CASA ALAMEDA 2007, LLC</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7" w:type="dxa"/>
            <w:tcBorders>
              <w:bottom w:val="single" w:sz="2" w:space="0" w:color="000000"/>
            </w:tcBorders>
            <w:tcMar>
              <w:bottom w:w="28" w:type="dxa"/>
            </w:tcMar>
          </w:tcPr>
          <w:p>
            <w:pPr>
              <w:pStyle w:val="TableContents"/>
              <w:bidi w:val="0"/>
              <w:spacing w:before="0" w:after="283"/>
              <w:jc w:val="left"/>
              <w:rPr/>
            </w:pPr>
            <w:r>
              <w:rPr/>
              <w:t>/s/ Manuel Alba</w:t>
            </w:r>
          </w:p>
        </w:tc>
      </w:tr>
      <w:tr>
        <w:trPr/>
        <w:tc>
          <w:tcPr>
            <w:tcW w:w="66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Manuel Alba</w:t>
            </w:r>
          </w:p>
        </w:tc>
      </w:tr>
      <w:tr>
        <w:trPr/>
        <w:tc>
          <w:tcPr>
            <w:tcW w:w="66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vAlign w:val="bottom"/>
          </w:tcPr>
          <w:p>
            <w:pPr>
              <w:pStyle w:val="TableContents"/>
              <w:bidi w:val="0"/>
              <w:spacing w:before="0" w:after="283"/>
              <w:jc w:val="left"/>
              <w:rPr/>
            </w:pPr>
            <w:r>
              <w:rPr/>
              <w:t>Manager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GROUP A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Avigdor Willenz</w:t>
            </w:r>
          </w:p>
        </w:tc>
      </w:tr>
      <w:tr>
        <w:trPr/>
        <w:tc>
          <w:tcPr>
            <w:tcW w:w="4082" w:type="dxa"/>
            <w:tcBorders/>
          </w:tcPr>
          <w:p>
            <w:pPr>
              <w:pStyle w:val="TableContents"/>
              <w:bidi w:val="0"/>
              <w:spacing w:before="0" w:after="283"/>
              <w:jc w:val="left"/>
              <w:rPr>
                <w:b/>
              </w:rPr>
            </w:pPr>
            <w:r>
              <w:rPr>
                <w:b/>
              </w:rPr>
              <w:t>AVIGDOR WILLENZ</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61"/>
        <w:gridCol w:w="3396"/>
      </w:tblGrid>
      <w:tr>
        <w:trPr/>
        <w:tc>
          <w:tcPr>
            <w:tcW w:w="62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A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EDWARD AND LOURDES RODRIGUEZ 1999 TRUST</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96" w:type="dxa"/>
            <w:tcBorders>
              <w:bottom w:val="single" w:sz="2" w:space="0" w:color="000000"/>
            </w:tcBorders>
            <w:tcMar>
              <w:bottom w:w="28" w:type="dxa"/>
            </w:tcMar>
          </w:tcPr>
          <w:p>
            <w:pPr>
              <w:pStyle w:val="TableContents"/>
              <w:bidi w:val="0"/>
              <w:spacing w:before="0" w:after="283"/>
              <w:jc w:val="left"/>
              <w:rPr/>
            </w:pPr>
            <w:r>
              <w:rPr/>
              <w:t>/s/ Edward Rodriguez</w:t>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Edward Rodriguez</w:t>
            </w:r>
          </w:p>
        </w:tc>
      </w:tr>
      <w:tr>
        <w:trPr/>
        <w:tc>
          <w:tcPr>
            <w:tcW w:w="6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Michael T Tate and Jeanne Larue Tate as Trustees of the Tate 1997 Living Trust Dated April 24, 1997</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Michael T Tate</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Michael T Tate</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Zoom Ventures LLC</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Alyona Federova</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Managing Member, InvestRight, LLC</w:t>
            </w:r>
          </w:p>
          <w:p>
            <w:pPr>
              <w:pStyle w:val="TableContents"/>
              <w:bidi w:val="0"/>
              <w:spacing w:before="0" w:after="20"/>
              <w:jc w:val="left"/>
              <w:rPr>
                <w:rFonts w:ascii="Times New Roman" w:hAnsi="Times New Roman"/>
                <w:sz w:val="20"/>
              </w:rPr>
            </w:pPr>
            <w:r>
              <w:rPr>
                <w:rFonts w:ascii="Times New Roman" w:hAnsi="Times New Roman"/>
                <w:sz w:val="20"/>
              </w:rPr>
              <w:t>(Managing Member of Zoom Ventures LLC)</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Christopher J. OReilly Revocable Trust</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0"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Christopher J. OReilly</w:t>
            </w:r>
          </w:p>
        </w:tc>
      </w:tr>
      <w:tr>
        <w:trPr/>
        <w:tc>
          <w:tcPr>
            <w:tcW w:w="6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Korgav Family Trust UAD 10/2/1989, Ibrahim and Sandra L. Korgav, Trustees</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Ibrahim Korgav</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5"/>
        <w:gridCol w:w="60"/>
        <w:gridCol w:w="3407"/>
      </w:tblGrid>
      <w:tr>
        <w:trPr/>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Mozafar Maghsoudnia and Nikoo Iravani, Trustees of the Maghsoudnia Family 2015 Trust</w:t>
            </w:r>
          </w:p>
        </w:tc>
      </w:tr>
      <w:tr>
        <w:trPr>
          <w:trHeight w:val="240" w:hRule="atLeast"/>
        </w:trPr>
        <w:tc>
          <w:tcPr>
            <w:tcW w:w="615" w:type="dxa"/>
            <w:tcBorders/>
            <w:vAlign w:val="center"/>
          </w:tcPr>
          <w:p>
            <w:pPr>
              <w:pStyle w:val="TableContents"/>
              <w:bidi w:val="0"/>
              <w:spacing w:before="0" w:after="283"/>
              <w:jc w:val="left"/>
              <w:rPr>
                <w:sz w:val="4"/>
                <w:szCs w:val="4"/>
              </w:rPr>
            </w:pPr>
            <w:r>
              <w:rPr>
                <w:sz w:val="4"/>
                <w:szCs w:val="4"/>
              </w:rPr>
            </w:r>
          </w:p>
        </w:tc>
        <w:tc>
          <w:tcPr>
            <w:tcW w:w="3467" w:type="dxa"/>
            <w:gridSpan w:val="2"/>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7"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Mozafar Maghsoudnia</w:t>
            </w:r>
          </w:p>
        </w:tc>
      </w:tr>
      <w:tr>
        <w:trPr/>
        <w:tc>
          <w:tcPr>
            <w:tcW w:w="6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3"/>
        <w:gridCol w:w="61"/>
        <w:gridCol w:w="3398"/>
      </w:tblGrid>
      <w:tr>
        <w:trPr/>
        <w:tc>
          <w:tcPr>
            <w:tcW w:w="62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Stefanos Sidiropoulos and Eleni Tsakmaki, JTWROS</w:t>
            </w:r>
          </w:p>
        </w:tc>
      </w:tr>
      <w:tr>
        <w:trPr>
          <w:trHeight w:val="240" w:hRule="atLeast"/>
        </w:trPr>
        <w:tc>
          <w:tcPr>
            <w:tcW w:w="623" w:type="dxa"/>
            <w:tcBorders/>
            <w:vAlign w:val="center"/>
          </w:tcPr>
          <w:p>
            <w:pPr>
              <w:pStyle w:val="TableContents"/>
              <w:bidi w:val="0"/>
              <w:spacing w:before="0" w:after="283"/>
              <w:jc w:val="left"/>
              <w:rPr>
                <w:sz w:val="4"/>
                <w:szCs w:val="4"/>
              </w:rPr>
            </w:pPr>
            <w:r>
              <w:rPr>
                <w:sz w:val="4"/>
                <w:szCs w:val="4"/>
              </w:rPr>
            </w:r>
          </w:p>
        </w:tc>
        <w:tc>
          <w:tcPr>
            <w:tcW w:w="3459"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2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left"/>
              <w:rPr>
                <w:rFonts w:ascii="Times New Roman" w:hAnsi="Times New Roman"/>
                <w:sz w:val="20"/>
              </w:rPr>
            </w:pPr>
            <w:r>
              <w:rPr>
                <w:rFonts w:ascii="Times New Roman" w:hAnsi="Times New Roman"/>
                <w:sz w:val="20"/>
              </w:rPr>
              <w:t>Stefanos Sidiropoulos</w:t>
            </w:r>
          </w:p>
        </w:tc>
      </w:tr>
      <w:tr>
        <w:trPr>
          <w:trHeight w:val="240" w:hRule="atLeast"/>
        </w:trPr>
        <w:tc>
          <w:tcPr>
            <w:tcW w:w="623" w:type="dxa"/>
            <w:tcBorders/>
            <w:vAlign w:val="center"/>
          </w:tcPr>
          <w:p>
            <w:pPr>
              <w:pStyle w:val="TableContents"/>
              <w:bidi w:val="0"/>
              <w:spacing w:before="0" w:after="283"/>
              <w:jc w:val="left"/>
              <w:rPr>
                <w:sz w:val="4"/>
                <w:szCs w:val="4"/>
              </w:rPr>
            </w:pPr>
            <w:r>
              <w:rPr>
                <w:sz w:val="4"/>
                <w:szCs w:val="4"/>
              </w:rPr>
            </w:r>
          </w:p>
        </w:tc>
        <w:tc>
          <w:tcPr>
            <w:tcW w:w="3459"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98"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23"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0"/>
              <w:jc w:val="left"/>
              <w:rPr>
                <w:rFonts w:ascii="Times New Roman" w:hAnsi="Times New Roman"/>
                <w:sz w:val="20"/>
              </w:rPr>
            </w:pPr>
            <w:r>
              <w:rPr>
                <w:rFonts w:ascii="Times New Roman" w:hAnsi="Times New Roman"/>
                <w:sz w:val="20"/>
              </w:rPr>
              <w:t>Eleni Tsakmaki</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Michael E. and Yuki M.F. Ichiriu Family Trust,</w:t>
            </w:r>
          </w:p>
          <w:p>
            <w:pPr>
              <w:pStyle w:val="TableContents"/>
              <w:bidi w:val="0"/>
              <w:spacing w:before="0" w:after="20"/>
              <w:jc w:val="left"/>
              <w:rPr>
                <w:rFonts w:ascii="Times New Roman" w:hAnsi="Times New Roman"/>
                <w:b/>
                <w:sz w:val="20"/>
              </w:rPr>
            </w:pPr>
            <w:r>
              <w:rPr>
                <w:rFonts w:ascii="Times New Roman" w:hAnsi="Times New Roman"/>
                <w:b/>
                <w:sz w:val="20"/>
              </w:rPr>
              <w:t>Michael E. Ichiriu, Trustee</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Michael E. Ichiriu</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Cortes Family Revocable Trust DTD April 25, 2012, Roland and Kimberly Cortes, Trustees</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Kelvin Khoo and Susanne Wong, Trustees of the</w:t>
            </w:r>
          </w:p>
          <w:p>
            <w:pPr>
              <w:pStyle w:val="TableContents"/>
              <w:bidi w:val="0"/>
              <w:spacing w:before="0" w:after="20"/>
              <w:jc w:val="left"/>
              <w:rPr>
                <w:rFonts w:ascii="Times New Roman" w:hAnsi="Times New Roman"/>
                <w:b/>
                <w:sz w:val="20"/>
              </w:rPr>
            </w:pPr>
            <w:r>
              <w:rPr>
                <w:rFonts w:ascii="Times New Roman" w:hAnsi="Times New Roman"/>
                <w:b/>
                <w:sz w:val="20"/>
              </w:rPr>
              <w:t>Khoo Family Living Trust Dated April 8, 2014</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Kelvin Khoo</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5"/>
        <w:gridCol w:w="61"/>
        <w:gridCol w:w="3366"/>
      </w:tblGrid>
      <w:tr>
        <w:trPr/>
        <w:tc>
          <w:tcPr>
            <w:tcW w:w="65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Michael Lambert Trust U/T/D 3/1/93</w:t>
            </w:r>
          </w:p>
        </w:tc>
      </w:tr>
      <w:tr>
        <w:trPr>
          <w:trHeight w:val="240" w:hRule="atLeast"/>
        </w:trPr>
        <w:tc>
          <w:tcPr>
            <w:tcW w:w="655"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Michael Lambert</w:t>
            </w:r>
          </w:p>
        </w:tc>
      </w:tr>
      <w:tr>
        <w:trPr/>
        <w:tc>
          <w:tcPr>
            <w:tcW w:w="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GROUP B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Hiroyuki Wada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Roland Cortes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GROUP B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Ryusuke Rick Murayama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Roland Cortes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GROUP B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Sujan Patel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Roland Cortes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9"/>
        <w:gridCol w:w="60"/>
        <w:gridCol w:w="3373"/>
      </w:tblGrid>
      <w:tr>
        <w:trPr/>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Grace Czimarik 1998 Charitable Remainder Unitrust, established August 19, 1998, doing business as GLOBALLINK 1 CAPITAL LLC, Richard A. Jankov successor sole trustee</w:t>
            </w:r>
          </w:p>
        </w:tc>
      </w:tr>
      <w:tr>
        <w:trPr>
          <w:trHeight w:val="240" w:hRule="atLeast"/>
        </w:trPr>
        <w:tc>
          <w:tcPr>
            <w:tcW w:w="649" w:type="dxa"/>
            <w:tcBorders/>
            <w:vAlign w:val="center"/>
          </w:tcPr>
          <w:p>
            <w:pPr>
              <w:pStyle w:val="TableContents"/>
              <w:bidi w:val="0"/>
              <w:spacing w:before="0" w:after="283"/>
              <w:jc w:val="left"/>
              <w:rPr>
                <w:sz w:val="4"/>
                <w:szCs w:val="4"/>
              </w:rPr>
            </w:pPr>
            <w:r>
              <w:rPr>
                <w:sz w:val="4"/>
                <w:szCs w:val="4"/>
              </w:rPr>
            </w:r>
          </w:p>
        </w:tc>
        <w:tc>
          <w:tcPr>
            <w:tcW w:w="3433" w:type="dxa"/>
            <w:gridSpan w:val="2"/>
            <w:tcBorders/>
            <w:vAlign w:val="center"/>
          </w:tcPr>
          <w:p>
            <w:pPr>
              <w:pStyle w:val="TableContents"/>
              <w:bidi w:val="0"/>
              <w:spacing w:before="0" w:after="283"/>
              <w:jc w:val="left"/>
              <w:rPr>
                <w:sz w:val="4"/>
                <w:szCs w:val="4"/>
              </w:rPr>
            </w:pPr>
            <w:r>
              <w:rPr>
                <w:sz w:val="4"/>
                <w:szCs w:val="4"/>
              </w:rPr>
            </w:r>
          </w:p>
        </w:tc>
      </w:tr>
      <w:tr>
        <w:trPr/>
        <w:tc>
          <w:tcPr>
            <w:tcW w:w="64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3" w:type="dxa"/>
            <w:tcBorders>
              <w:bottom w:val="single" w:sz="2" w:space="0" w:color="000000"/>
            </w:tcBorders>
            <w:tcMar>
              <w:bottom w:w="28" w:type="dxa"/>
            </w:tcMar>
          </w:tcPr>
          <w:p>
            <w:pPr>
              <w:pStyle w:val="TableContents"/>
              <w:bidi w:val="0"/>
              <w:spacing w:before="0" w:after="283"/>
              <w:jc w:val="left"/>
              <w:rPr/>
            </w:pPr>
            <w:r>
              <w:rPr/>
              <w:t>/s/ Roland Cortes</w:t>
            </w:r>
          </w:p>
        </w:tc>
      </w:tr>
      <w:tr>
        <w:trPr/>
        <w:tc>
          <w:tcPr>
            <w:tcW w:w="6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Richard A. Jankov</w:t>
            </w:r>
          </w:p>
        </w:tc>
      </w:tr>
      <w:tr>
        <w:trPr/>
        <w:tc>
          <w:tcPr>
            <w:tcW w:w="64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3" w:type="dxa"/>
            <w:tcBorders/>
            <w:vAlign w:val="bottom"/>
          </w:tcPr>
          <w:p>
            <w:pPr>
              <w:pStyle w:val="TableContents"/>
              <w:bidi w:val="0"/>
              <w:spacing w:before="0" w:after="283"/>
              <w:jc w:val="left"/>
              <w:rPr/>
            </w:pPr>
            <w:r>
              <w:rPr/>
              <w:t>Successor Sole 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4"/>
        <w:gridCol w:w="62"/>
        <w:gridCol w:w="3356"/>
      </w:tblGrid>
      <w:tr>
        <w:trPr/>
        <w:tc>
          <w:tcPr>
            <w:tcW w:w="66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GROUP B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GODINHO FAMILY REVOCABLE LIVING TRUST</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Norman Godinho</w:t>
            </w:r>
          </w:p>
        </w:tc>
      </w:tr>
      <w:tr>
        <w:trPr/>
        <w:tc>
          <w:tcPr>
            <w:tcW w:w="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2"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Norman Godinho</w:t>
            </w:r>
          </w:p>
        </w:tc>
      </w:tr>
      <w:tr>
        <w:trPr/>
        <w:tc>
          <w:tcPr>
            <w:tcW w:w="664" w:type="dxa"/>
            <w:tcBorders/>
            <w:vAlign w:val="bottom"/>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3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1"/>
        <w:gridCol w:w="61"/>
        <w:gridCol w:w="3380"/>
      </w:tblGrid>
      <w:tr>
        <w:trPr/>
        <w:tc>
          <w:tcPr>
            <w:tcW w:w="64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MOHAN &amp; SAMANT LIVING TRUST DATED 3/29/2022</w:t>
            </w:r>
          </w:p>
        </w:tc>
      </w:tr>
      <w:tr>
        <w:trPr>
          <w:trHeight w:val="240" w:hRule="atLeast"/>
        </w:trPr>
        <w:tc>
          <w:tcPr>
            <w:tcW w:w="641" w:type="dxa"/>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80" w:type="dxa"/>
            <w:tcBorders>
              <w:bottom w:val="single" w:sz="2" w:space="0" w:color="000000"/>
            </w:tcBorders>
            <w:tcMar>
              <w:bottom w:w="28" w:type="dxa"/>
            </w:tcMar>
          </w:tcPr>
          <w:p>
            <w:pPr>
              <w:pStyle w:val="TableContents"/>
              <w:bidi w:val="0"/>
              <w:spacing w:before="0" w:after="283"/>
              <w:jc w:val="left"/>
              <w:rPr/>
            </w:pPr>
            <w:r>
              <w:rPr/>
              <w:t>/s/ Jitendra Mohan</w:t>
            </w:r>
          </w:p>
        </w:tc>
      </w:tr>
      <w:tr>
        <w:trPr/>
        <w:tc>
          <w:tcPr>
            <w:tcW w:w="6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Jitendra Mohan</w:t>
            </w:r>
          </w:p>
        </w:tc>
      </w:tr>
      <w:tr>
        <w:trPr/>
        <w:tc>
          <w:tcPr>
            <w:tcW w:w="641"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Co-Trustee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0"/>
        <w:gridCol w:w="60"/>
        <w:gridCol w:w="3412"/>
      </w:tblGrid>
      <w:tr>
        <w:trPr/>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NAVAD TRUST DATED NOVEMBER 1, 2012</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Gajendra Sanjay Akkasalamakki</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Gajendra Sanjay Akkasalamakki</w:t>
            </w:r>
          </w:p>
        </w:tc>
      </w:tr>
      <w:tr>
        <w:trPr/>
        <w:tc>
          <w:tcPr>
            <w:tcW w:w="61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r>
        <w:trPr>
          <w:trHeight w:val="24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2" w:type="dxa"/>
            <w:tcBorders>
              <w:bottom w:val="single" w:sz="2" w:space="0" w:color="000000"/>
            </w:tcBorders>
            <w:tcMar>
              <w:bottom w:w="28" w:type="dxa"/>
            </w:tcMar>
          </w:tcPr>
          <w:p>
            <w:pPr>
              <w:pStyle w:val="TableContents"/>
              <w:bidi w:val="0"/>
              <w:spacing w:before="0" w:after="283"/>
              <w:jc w:val="left"/>
              <w:rPr/>
            </w:pPr>
            <w:r>
              <w:rPr/>
              <w:t>/s/ Roopa Nayak</w:t>
            </w:r>
          </w:p>
        </w:tc>
      </w:tr>
      <w:tr>
        <w:trPr/>
        <w:tc>
          <w:tcPr>
            <w:tcW w:w="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Roopa Nayak</w:t>
            </w:r>
          </w:p>
        </w:tc>
      </w:tr>
      <w:tr>
        <w:trPr/>
        <w:tc>
          <w:tcPr>
            <w:tcW w:w="61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Trustee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Casey Morrison</w:t>
            </w:r>
          </w:p>
        </w:tc>
      </w:tr>
      <w:tr>
        <w:trPr/>
        <w:tc>
          <w:tcPr>
            <w:tcW w:w="4082" w:type="dxa"/>
            <w:tcBorders/>
          </w:tcPr>
          <w:p>
            <w:pPr>
              <w:pStyle w:val="TableContents"/>
              <w:bidi w:val="0"/>
              <w:spacing w:before="0" w:after="283"/>
              <w:jc w:val="left"/>
              <w:rPr>
                <w:b/>
              </w:rPr>
            </w:pPr>
            <w:r>
              <w:rPr>
                <w:b/>
              </w:rPr>
              <w:t>CASEY MORRISON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ATREIDES FOUNDATION MASTER FUND LP</w:t>
            </w:r>
          </w:p>
        </w:tc>
      </w:tr>
      <w:tr>
        <w:trPr/>
        <w:tc>
          <w:tcPr>
            <w:tcW w:w="4082" w:type="dxa"/>
            <w:gridSpan w:val="3"/>
            <w:tcBorders/>
          </w:tcPr>
          <w:p>
            <w:pPr>
              <w:pStyle w:val="TableContents"/>
              <w:bidi w:val="0"/>
              <w:spacing w:before="0" w:after="283"/>
              <w:jc w:val="left"/>
              <w:rPr/>
            </w:pPr>
            <w:r>
              <w:rPr/>
              <w:t>By: Atreides Foundation Fund GP, LLC, its General Partner</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David Finn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David Finn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INTEL CAPITAL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Abhay Gadkari</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Abhay Gadkari</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Legal OK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Edward Vermeer</w:t>
            </w:r>
          </w:p>
        </w:tc>
      </w:tr>
      <w:tr>
        <w:trPr/>
        <w:tc>
          <w:tcPr>
            <w:tcW w:w="4082" w:type="dxa"/>
            <w:gridSpan w:val="3"/>
            <w:tcBorders/>
          </w:tcPr>
          <w:p>
            <w:pPr>
              <w:pStyle w:val="TableContents"/>
              <w:bidi w:val="0"/>
              <w:spacing w:before="0" w:after="283"/>
              <w:jc w:val="left"/>
              <w:rPr/>
            </w:pPr>
            <w:r>
              <w:rPr/>
              <w:t>Edward Vermeer</w:t>
            </w:r>
          </w:p>
        </w:tc>
      </w:tr>
      <w:tr>
        <w:trPr/>
        <w:tc>
          <w:tcPr>
            <w:tcW w:w="4082" w:type="dxa"/>
            <w:gridSpan w:val="3"/>
            <w:tcBorders/>
          </w:tcPr>
          <w:p>
            <w:pPr>
              <w:pStyle w:val="TableContents"/>
              <w:bidi w:val="0"/>
              <w:spacing w:before="0" w:after="283"/>
              <w:jc w:val="left"/>
              <w:rPr/>
            </w:pPr>
            <w:r>
              <w:rPr/>
              <w:t>Assoc General Counsel</w:t>
            </w:r>
          </w:p>
        </w:tc>
      </w:tr>
      <w:tr>
        <w:trPr/>
        <w:tc>
          <w:tcPr>
            <w:tcW w:w="4082" w:type="dxa"/>
            <w:gridSpan w:val="3"/>
            <w:tcBorders/>
          </w:tcPr>
          <w:p>
            <w:pPr>
              <w:pStyle w:val="TableContents"/>
              <w:bidi w:val="0"/>
              <w:spacing w:before="0" w:after="283"/>
              <w:jc w:val="left"/>
              <w:rPr/>
            </w:pPr>
            <w:r>
              <w:rPr/>
              <w:t>5.16.22</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Select Portfolios: Select Semiconductors Lead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Advisor Series VII: FA Semiconductors Lead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Advisor Series VII: Fidelity Advisor Technology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Variable Insurance Products Fund IV: VIP Technology Portfolio</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Mt. Vernon Street Trust: Fidelity Series Growth Company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Mt. Vernon Street Trust: Fidelity Growth Company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Growth Company Commingled Pool</w:t>
            </w:r>
          </w:p>
        </w:tc>
      </w:tr>
      <w:tr>
        <w:trPr/>
        <w:tc>
          <w:tcPr>
            <w:tcW w:w="4082" w:type="dxa"/>
            <w:gridSpan w:val="3"/>
            <w:tcBorders/>
          </w:tcPr>
          <w:p>
            <w:pPr>
              <w:pStyle w:val="TableContents"/>
              <w:bidi w:val="0"/>
              <w:spacing w:before="0" w:after="283"/>
              <w:jc w:val="left"/>
              <w:rPr/>
            </w:pPr>
            <w:r>
              <w:rPr/>
              <w:t>By: Fidelity Management Trust Company, as Trustee</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Mt. Vernon Street Trust : Fidelity Growth Company K6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Variable Insurance Products Fund III: VIP Balanced Portfolio - Information Technology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Advisor Series I: Fidelity Advisor Balanced Fund - Information Technology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Fidelity Puritan Trust: Fidelity Balanced K6</w:t>
            </w:r>
          </w:p>
          <w:p>
            <w:pPr>
              <w:pStyle w:val="TableContents"/>
              <w:bidi w:val="0"/>
              <w:spacing w:before="0" w:after="20"/>
              <w:jc w:val="left"/>
              <w:rPr>
                <w:rFonts w:ascii="Times New Roman" w:hAnsi="Times New Roman"/>
                <w:b/>
                <w:sz w:val="20"/>
              </w:rPr>
            </w:pPr>
            <w:r>
              <w:rPr>
                <w:rFonts w:ascii="Times New Roman" w:hAnsi="Times New Roman"/>
                <w:b/>
                <w:sz w:val="20"/>
              </w:rPr>
              <w:t>Fund - Information Technology Sub-portfolio</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Puritan Trust: Fidelity Balanced Fund - Information Technology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Devonshire Trust: Fidelity Series All- Sector Equity Fund - Information Technology Sub</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Select Portfolios: Select Technology Portfolio</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SPECIAL SITUATIONS FUND</w:t>
            </w:r>
          </w:p>
        </w:tc>
      </w:tr>
      <w:tr>
        <w:trPr/>
        <w:tc>
          <w:tcPr>
            <w:tcW w:w="4082" w:type="dxa"/>
            <w:gridSpan w:val="3"/>
            <w:tcBorders/>
          </w:tcPr>
          <w:p>
            <w:pPr>
              <w:pStyle w:val="TableContents"/>
              <w:bidi w:val="0"/>
              <w:spacing w:before="0" w:after="283"/>
              <w:jc w:val="left"/>
              <w:rPr/>
            </w:pPr>
            <w:r>
              <w:rPr/>
              <w:t>By: its manager Fidelity Investments Canada ULC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Global Innovators Investment Trust</w:t>
            </w:r>
          </w:p>
        </w:tc>
      </w:tr>
      <w:tr>
        <w:trPr/>
        <w:tc>
          <w:tcPr>
            <w:tcW w:w="4082" w:type="dxa"/>
            <w:gridSpan w:val="3"/>
            <w:tcBorders/>
          </w:tcPr>
          <w:p>
            <w:pPr>
              <w:pStyle w:val="TableContents"/>
              <w:bidi w:val="0"/>
              <w:spacing w:before="0" w:after="283"/>
              <w:jc w:val="left"/>
              <w:rPr/>
            </w:pPr>
            <w:r>
              <w:rPr/>
              <w:t>By: its manager Fidelity Investments Canada ULC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Securities Fund: Fidelity Blue Chip Growth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Blue Chip Growth Commingled Pool</w:t>
            </w:r>
          </w:p>
        </w:tc>
      </w:tr>
      <w:tr>
        <w:trPr/>
        <w:tc>
          <w:tcPr>
            <w:tcW w:w="4082" w:type="dxa"/>
            <w:gridSpan w:val="3"/>
            <w:tcBorders/>
          </w:tcPr>
          <w:p>
            <w:pPr>
              <w:pStyle w:val="TableContents"/>
              <w:bidi w:val="0"/>
              <w:spacing w:before="0" w:after="283"/>
              <w:jc w:val="left"/>
              <w:rPr/>
            </w:pPr>
            <w:r>
              <w:rPr/>
              <w:t>By: Fidelity Management Trust Company, as Trustee</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5"/>
        <w:gridCol w:w="60"/>
        <w:gridCol w:w="3397"/>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Fidelity Securities Fund: Fidelity Flex Large</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Cap Growth Fund</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7"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Colm Hogan</w:t>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Securities Fund: Fidelity Blue Chip Growth K6 Fund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Fidelity Blue Chip Growth Institutional Trust By its manager Fidelity Investments Canada ULC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FIAM Target Date Blue Chip Growth Commingled Pool</w:t>
            </w:r>
          </w:p>
        </w:tc>
      </w:tr>
      <w:tr>
        <w:trPr/>
        <w:tc>
          <w:tcPr>
            <w:tcW w:w="4082" w:type="dxa"/>
            <w:gridSpan w:val="3"/>
            <w:tcBorders/>
          </w:tcPr>
          <w:p>
            <w:pPr>
              <w:pStyle w:val="TableContents"/>
              <w:bidi w:val="0"/>
              <w:spacing w:before="0" w:after="283"/>
              <w:jc w:val="left"/>
              <w:rPr/>
            </w:pPr>
            <w:r>
              <w:rPr/>
              <w:t>By: Fidelity Institutional Asset Management Trust Company as Trustee</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Fidelity Canadian Growth Company Fund</w:t>
              <w:br/>
            </w:r>
            <w:r>
              <w:rPr/>
              <w:t>by its manager Fidelity Investments Canada ULC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Colm Hogan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Colm Hogan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SUTTER HILL VENTURES, A CALIFORNIA LIMITED PARTNERSHIP</w:t>
            </w:r>
          </w:p>
        </w:tc>
      </w:tr>
      <w:tr>
        <w:trPr>
          <w:trHeight w:val="12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Sutter Hill Ventures, L.L.C.</w:t>
            </w:r>
          </w:p>
        </w:tc>
      </w:tr>
      <w:tr>
        <w:trPr/>
        <w:tc>
          <w:tcPr>
            <w:tcW w:w="648"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General Partner</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tcPr>
          <w:p>
            <w:pPr>
              <w:pStyle w:val="TableContents"/>
              <w:bidi w:val="0"/>
              <w:spacing w:before="0" w:after="283"/>
              <w:jc w:val="left"/>
              <w:rPr/>
            </w:pPr>
            <w:r>
              <w:rPr/>
              <w:t>/s/ Stefan Dyckerhoff</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Stefan Dyckerhoff</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4"/>
        <w:gridCol w:w="60"/>
        <w:gridCol w:w="3378"/>
      </w:tblGrid>
      <w:tr>
        <w:trPr/>
        <w:tc>
          <w:tcPr>
            <w:tcW w:w="6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SHM INVESTMENTS, LLC</w:t>
            </w:r>
          </w:p>
        </w:tc>
      </w:tr>
      <w:tr>
        <w:trPr>
          <w:trHeight w:val="12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Sutter Hill Management Company, L.L.C.</w:t>
            </w:r>
          </w:p>
        </w:tc>
      </w:tr>
      <w:tr>
        <w:trPr/>
        <w:tc>
          <w:tcPr>
            <w:tcW w:w="644" w:type="dxa"/>
            <w:tcBorders/>
            <w:vAlign w:val="bottom"/>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Manager</w:t>
            </w:r>
          </w:p>
        </w:tc>
      </w:tr>
      <w:tr>
        <w:trPr>
          <w:trHeight w:val="240" w:hRule="atLeast"/>
        </w:trPr>
        <w:tc>
          <w:tcPr>
            <w:tcW w:w="644" w:type="dxa"/>
            <w:tcBorders/>
            <w:vAlign w:val="center"/>
          </w:tcPr>
          <w:p>
            <w:pPr>
              <w:pStyle w:val="TableContents"/>
              <w:bidi w:val="0"/>
              <w:spacing w:before="0" w:after="283"/>
              <w:jc w:val="left"/>
              <w:rPr>
                <w:sz w:val="4"/>
                <w:szCs w:val="4"/>
              </w:rPr>
            </w:pPr>
            <w:r>
              <w:rPr>
                <w:sz w:val="4"/>
                <w:szCs w:val="4"/>
              </w:rPr>
            </w:r>
          </w:p>
        </w:tc>
        <w:tc>
          <w:tcPr>
            <w:tcW w:w="3438" w:type="dxa"/>
            <w:gridSpan w:val="2"/>
            <w:tcBorders/>
            <w:vAlign w:val="center"/>
          </w:tcPr>
          <w:p>
            <w:pPr>
              <w:pStyle w:val="TableContents"/>
              <w:bidi w:val="0"/>
              <w:spacing w:before="0" w:after="283"/>
              <w:jc w:val="left"/>
              <w:rPr>
                <w:sz w:val="4"/>
                <w:szCs w:val="4"/>
              </w:rPr>
            </w:pPr>
            <w:r>
              <w:rPr>
                <w:sz w:val="4"/>
                <w:szCs w:val="4"/>
              </w:rPr>
            </w:r>
          </w:p>
        </w:tc>
      </w:tr>
      <w:tr>
        <w:trPr/>
        <w:tc>
          <w:tcPr>
            <w:tcW w:w="64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8" w:type="dxa"/>
            <w:tcBorders>
              <w:bottom w:val="single" w:sz="2" w:space="0" w:color="000000"/>
            </w:tcBorders>
            <w:tcMar>
              <w:bottom w:w="28" w:type="dxa"/>
            </w:tcMar>
          </w:tcPr>
          <w:p>
            <w:pPr>
              <w:pStyle w:val="TableContents"/>
              <w:bidi w:val="0"/>
              <w:spacing w:before="0" w:after="283"/>
              <w:jc w:val="left"/>
              <w:rPr/>
            </w:pPr>
            <w:r>
              <w:rPr/>
              <w:t>/s/ Kanwalpreet S. Kalra</w:t>
            </w:r>
          </w:p>
        </w:tc>
      </w:tr>
      <w:tr>
        <w:trPr/>
        <w:tc>
          <w:tcPr>
            <w:tcW w:w="64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Kanwalpreet S. Kalra</w:t>
            </w:r>
          </w:p>
        </w:tc>
      </w:tr>
      <w:tr>
        <w:trPr/>
        <w:tc>
          <w:tcPr>
            <w:tcW w:w="64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8" w:type="dxa"/>
            <w:tcBorders/>
            <w:vAlign w:val="bottom"/>
          </w:tcPr>
          <w:p>
            <w:pPr>
              <w:pStyle w:val="TableContents"/>
              <w:bidi w:val="0"/>
              <w:spacing w:before="0" w:after="283"/>
              <w:jc w:val="left"/>
              <w:rPr/>
            </w:pPr>
            <w:r>
              <w:rPr/>
              <w:t>Director of Finance</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ROOSTER PARTNERS,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Tench Coxe, Trustee of The Coxe Revocable Trust U/A/D 4/23/98,</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General Partner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JAMES N. WHITE AND PATRICIA A. OBRIEN, CO-TRUSTEES OF THE WHITE REVOCABLE TRUST U/A/D 4/3/97</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James N. White,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ANDREW T. SHEEHAN AND NICOLE J. SHEEHAN AS TRUSTEES OF SHEEHAN 2003 TRUST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Andrew T. Sheehan,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MICHAEL L. SPEISER, TRUSTEE OF THE MICHAEL L. SPEISER REVOCABLE TRUST U/A/D 2/18/2020</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Michael L. Speiser,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MARY ELIZABETH SPEISER, TRUSTEE OF THE MARY ELIZABETH SPEISER REVOCABLE TRUST U/A/D 3/22/2017</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Mary E. Speiser,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5"/>
        <w:gridCol w:w="60"/>
        <w:gridCol w:w="3637"/>
      </w:tblGrid>
      <w:tr>
        <w:trPr/>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STEFAN A. DYCKERHOFF AND WENDY G. DYCKERHOFF-JANSSEN, CO-TRUSTEES OF</w:t>
            </w:r>
          </w:p>
        </w:tc>
      </w:tr>
      <w:tr>
        <w:trPr/>
        <w:tc>
          <w:tcPr>
            <w:tcW w:w="4082" w:type="dxa"/>
            <w:gridSpan w:val="3"/>
            <w:tcBorders/>
          </w:tcPr>
          <w:p>
            <w:pPr>
              <w:pStyle w:val="TableContents"/>
              <w:bidi w:val="0"/>
              <w:spacing w:before="0" w:after="283"/>
              <w:jc w:val="left"/>
              <w:rPr>
                <w:b/>
              </w:rPr>
            </w:pPr>
            <w:r>
              <w:rPr>
                <w:b/>
              </w:rPr>
              <w:t>BEAR CREEK TRUST U/A/D 8/30/2001</w:t>
            </w:r>
          </w:p>
        </w:tc>
      </w:tr>
      <w:tr>
        <w:trPr>
          <w:trHeight w:val="240" w:hRule="atLeast"/>
        </w:trPr>
        <w:tc>
          <w:tcPr>
            <w:tcW w:w="385" w:type="dxa"/>
            <w:tcBorders/>
            <w:vAlign w:val="center"/>
          </w:tcPr>
          <w:p>
            <w:pPr>
              <w:pStyle w:val="TableContents"/>
              <w:bidi w:val="0"/>
              <w:spacing w:before="0" w:after="283"/>
              <w:jc w:val="left"/>
              <w:rPr>
                <w:sz w:val="4"/>
                <w:szCs w:val="4"/>
              </w:rPr>
            </w:pPr>
            <w:r>
              <w:rPr>
                <w:sz w:val="4"/>
                <w:szCs w:val="4"/>
              </w:rPr>
            </w:r>
          </w:p>
        </w:tc>
        <w:tc>
          <w:tcPr>
            <w:tcW w:w="3697" w:type="dxa"/>
            <w:gridSpan w:val="2"/>
            <w:tcBorders/>
            <w:vAlign w:val="center"/>
          </w:tcPr>
          <w:p>
            <w:pPr>
              <w:pStyle w:val="TableContents"/>
              <w:bidi w:val="0"/>
              <w:spacing w:before="0" w:after="283"/>
              <w:jc w:val="left"/>
              <w:rPr>
                <w:sz w:val="4"/>
                <w:szCs w:val="4"/>
              </w:rPr>
            </w:pPr>
            <w:r>
              <w:rPr>
                <w:sz w:val="4"/>
                <w:szCs w:val="4"/>
              </w:rPr>
            </w:r>
          </w:p>
        </w:tc>
      </w:tr>
      <w:tr>
        <w:trPr/>
        <w:tc>
          <w:tcPr>
            <w:tcW w:w="3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Stefan A. Dyckerhoff, Trustee</w:t>
            </w:r>
          </w:p>
        </w:tc>
      </w:tr>
      <w:tr>
        <w:trPr/>
        <w:tc>
          <w:tcPr>
            <w:tcW w:w="3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By Kanwalpreet Kalra</w:t>
            </w:r>
          </w:p>
        </w:tc>
      </w:tr>
      <w:tr>
        <w:trPr/>
        <w:tc>
          <w:tcPr>
            <w:tcW w:w="3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SAMUEL J. PULLARA III AND LUCIA CHOI PULLARA, CO-TRUSTEES OF THE PULLARA REVOCABLE TRUST U/A/D 8/21/13</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Samuel J. Pullara III,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CHRISTOPHER J. BASSO AND JULIE BASSO, TRUSTEES OF CHRISTOPHER AND JULIE BASSO REVOCABLE LIVING TRUST</w:t>
            </w:r>
          </w:p>
          <w:p>
            <w:pPr>
              <w:pStyle w:val="TableContents"/>
              <w:bidi w:val="0"/>
              <w:spacing w:before="0" w:after="20"/>
              <w:jc w:val="left"/>
              <w:rPr>
                <w:rFonts w:ascii="Times New Roman" w:hAnsi="Times New Roman"/>
                <w:b/>
                <w:sz w:val="20"/>
              </w:rPr>
            </w:pPr>
            <w:r>
              <w:rPr>
                <w:rFonts w:ascii="Times New Roman" w:hAnsi="Times New Roman"/>
                <w:b/>
                <w:sz w:val="20"/>
              </w:rPr>
              <w:t>U/A/D JANUARY 9, 2015</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Christopher J. Basso,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BRIAN J. BLOND AND JUDY BLOND, TRUSTEES OF THE BLOND 2007 REVOCABLE TRUST DATED JULY 10, 2007</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Brian J. Blond, Co-Trustee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WILLIAM E. BULL AND KIMBERLY D. BULL, CO-TRUSTEES OF THE BULL REVOCABLE TRUST U/A/D MARCH 31, 2021</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William E. Bull,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DAVID A. WEIPER, TRUSTEE OF DAVID A. WEIPER TRUST</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David A. Weiper,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CHAD PEETS AND CARI JEAN PEETS, TRUSTEES OF THE 2005 PEETS FAMILY TRUST DATED: NOVEMBER 15, 2005</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Chad Peets,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TENCH COXE AND SIMONE OTUS COXE, CO-TRUSTEES OF THE COXE REVOCABLE TRUST U/A/D 4/23/98</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Tench Coxe,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ROSETIME PARTNERS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James N. White, Trustee of The White Revocable Trust U/A/D 4/3/97,</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General Partner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CHATTER PEAK PARTNERS,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Michael L. Speiser, Trustee of Speiser Trust U/A/D 7/19/06,</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General Partner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b/>
              </w:rPr>
            </w:pPr>
            <w:r>
              <w:rPr>
                <w:b/>
              </w:rPr>
              <w:t>BRIAN J. BLOND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PATRICK ANDREW CHEN AND YU-YING CHIU CHEN AS TRUSTEES OF PATRICK AND YING CHEN 2001 LIVING TRUST DATED 3/17/01</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Yu-Ying Chiu Chen,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BARBARA NISS, TRUSTEE OF BARBARA NISS 2013 REVOCABLE TRUST DATED DECEMBER 18, 2013</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Barbara Niss, Trustee</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By Kanwalpreet Kalra</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PATRICIA TOM, TRUSTEE OF PATRICIA TOM LIVING TRUST DATED APRIL 15, 2019</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Patricia Tom,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MICHAEL L. SPEISER AND MARY ELIZABETH SPEISER, CO-TRUSTEES OF SPEISER TRUST U/A/D 7/19/06</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Michael L. Speiser, Trustee</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OTHER 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FLOWERS, L.P</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Stefan A. Dyckerhoff, Trustee of Bear Creek Trust U/A/D 8/30/2001,</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General Partner</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By Kanwalpreet Kalra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Under Power of Attorney</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DIVANNY I. LAMAS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DIANE J. NAAR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YU-YING CHEN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BARBARA NISS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Tench Coxe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Andrew T. Sheehan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Stefan A. Dyckerhoff</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Stefan A. Dyckerhoff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Samuel J. Pullara III</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Bank, FBO Samuel J. Pullara III Roth IRA</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Christopher J. Basso (Rollover)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Diane J. Naar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Barbara Niss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Amended and Restated Investors Rights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OTHER INVESTORS: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Principal Trust Company, FBO SHV Profit Sharing Plan FBO Andrew T. Sheehan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Todd Noetzelmann</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INVESTORS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Schedule of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p>
    <w:p>
      <w:pPr>
        <w:pStyle w:val="TextBody"/>
        <w:bidi w:val="0"/>
        <w:spacing w:before="0" w:after="0"/>
        <w:jc w:val="right"/>
        <w:rPr>
          <w:rFonts w:ascii="Times New Roman" w:hAnsi="Times New Roman"/>
          <w:b/>
          <w:sz w:val="20"/>
        </w:rPr>
      </w:pPr>
      <w:bookmarkStart w:id="43" w:name="d285484dex101.htm"/>
      <w:bookmarkStart w:id="44" w:name="ksd285484dex101"/>
      <w:bookmarkEnd w:id="43"/>
      <w:bookmarkEnd w:id="44"/>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w:t>
      </w:r>
      <w:r>
        <w:rPr>
          <w:rFonts w:ascii="Times New Roman" w:hAnsi="Times New Roman"/>
          <w:b/>
          <w:sz w:val="20"/>
        </w:rPr>
        <w:t>Agreement</w:t>
      </w:r>
      <w:r>
        <w:rPr>
          <w:rFonts w:ascii="Times New Roman" w:hAnsi="Times New Roman"/>
          <w:sz w:val="20"/>
        </w:rPr>
        <w:t>) is made as of ________________ by and between Astera Labs, Inc., a Delaware corporation (the </w:t>
      </w:r>
      <w:r>
        <w:rPr>
          <w:rFonts w:ascii="Times New Roman" w:hAnsi="Times New Roman"/>
          <w:b/>
          <w:sz w:val="20"/>
        </w:rPr>
        <w:t>Company</w:t>
      </w:r>
      <w:r>
        <w:rPr>
          <w:rFonts w:ascii="Times New Roman" w:hAnsi="Times New Roman"/>
          <w:sz w:val="20"/>
        </w:rPr>
        <w:t>), and ____________ (</w:t>
      </w:r>
      <w:r>
        <w:rPr>
          <w:rFonts w:ascii="Times New Roman" w:hAnsi="Times New Roman"/>
          <w:b/>
          <w:sz w:val="20"/>
        </w:rPr>
        <w:t>Indemnitee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WHEREAS, the Certificate of Incorporation (the </w:t>
      </w:r>
      <w:r>
        <w:rPr>
          <w:rFonts w:ascii="Times New Roman" w:hAnsi="Times New Roman"/>
          <w:b/>
          <w:sz w:val="20"/>
        </w:rPr>
        <w:t>Charter</w:t>
      </w:r>
      <w:r>
        <w:rPr>
          <w:rFonts w:ascii="Times New Roman" w:hAnsi="Times New Roman"/>
          <w:sz w:val="20"/>
        </w:rPr>
        <w:t>) and the Bylaws (the </w:t>
      </w:r>
      <w:r>
        <w:rPr>
          <w:rFonts w:ascii="Times New Roman" w:hAnsi="Times New Roman"/>
          <w:b/>
          <w:sz w:val="20"/>
        </w:rPr>
        <w:t>Bylaws</w:t>
      </w:r>
      <w:r>
        <w:rPr>
          <w:rFonts w:ascii="Times New Roman" w:hAnsi="Times New Roman"/>
          <w:sz w:val="20"/>
        </w:rPr>
        <w:t>) of the Company require indemnification of the officers and directors of the Company, and Indemnitee may also be entitled to indemnification pursuant to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Charter, the Bylaws and the DGCL expressly provide that the indemnification provisions set forth therein are not exclusive, and thereby contemplate that contracts may be entered into between the Company and members of the Board of Directors of the Company (the </w:t>
      </w:r>
      <w:r>
        <w:rPr>
          <w:rFonts w:ascii="Times New Roman" w:hAnsi="Times New Roman"/>
          <w:b/>
          <w:sz w:val="20"/>
        </w:rPr>
        <w:t>Board</w:t>
      </w:r>
      <w:r>
        <w:rPr>
          <w:rFonts w:ascii="Times New Roman" w:hAnsi="Times New Roman"/>
          <w:sz w:val="20"/>
        </w:rPr>
        <w:t xml:space="preserve">),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or the Bylaws and any resolutions adopted pursuant thereto, and shall not be deemed a substitute therefor, nor to diminish or abrogate any rights of Indemnitee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Indemnitee has certain rights to indemnification and/or insurance provided by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or continue to serve] on the Board.]1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recital should be included if the director is affiliated with a fund or other entity that provides indemnification to the director that is intended to backstop the indemnification provided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240" w:after="0"/>
        <w:jc w:val="left"/>
        <w:rPr>
          <w:rFonts w:ascii="Times New Roman" w:hAnsi="Times New Roman"/>
          <w:sz w:val="20"/>
        </w:rPr>
      </w:pPr>
      <w:r>
        <w:rPr>
          <w:rFonts w:ascii="Times New Roman" w:hAnsi="Times New Roman"/>
          <w:sz w:val="20"/>
        </w:rPr>
        <w:t xml:space="preserve">Section 2.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 and Associate</w:t>
      </w:r>
      <w:r>
        <w:rPr>
          <w:rFonts w:ascii="Times New Roman" w:hAnsi="Times New Roman"/>
          <w:sz w:val="20"/>
        </w:rPr>
        <w:t> shall have the respective meanings ascribed to such terms in Rule 12b-2 of the General Rules and Regulations under the Securities Exchange Act of 1934, as amended (the </w:t>
      </w:r>
      <w:r>
        <w:rPr>
          <w:rFonts w:ascii="Times New Roman" w:hAnsi="Times New Roman"/>
          <w:b/>
          <w:sz w:val="20"/>
        </w:rPr>
        <w:t>Exchange Act</w:t>
      </w:r>
      <w:r>
        <w:rPr>
          <w:rFonts w:ascii="Times New Roman" w:hAnsi="Times New Roman"/>
          <w:sz w:val="20"/>
        </w:rPr>
        <w:t xml:space="preserve">),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hAnsi="Times New Roman"/>
          <w:i/>
          <w:sz w:val="20"/>
        </w:rPr>
        <w:t>bona fid</w:t>
      </w:r>
      <w:r>
        <w:rPr>
          <w:rFonts w:ascii="Times New Roman" w:hAnsi="Times New Roman"/>
          <w:sz w:val="20"/>
        </w:rPr>
        <w:t xml:space="preserve">e public offering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hAnsi="Times New Roman"/>
          <w:i/>
          <w:sz w:val="20"/>
        </w:rPr>
        <w:t>bona fide</w:t>
      </w:r>
      <w:r>
        <w:rPr>
          <w:rFonts w:ascii="Times New Roman" w:hAnsi="Times New Roman"/>
          <w:sz w:val="20"/>
        </w:rPr>
        <w:t xml:space="preserve"> public offering of securities) for the purpose of acquiring, holding, voting or disposing of any securities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240" w:after="0"/>
        <w:jc w:val="left"/>
        <w:rPr>
          <w:rFonts w:ascii="Times New Roman" w:hAnsi="Times New Roman"/>
          <w:sz w:val="20"/>
        </w:rPr>
      </w:pPr>
      <w:r>
        <w:rPr>
          <w:rFonts w:ascii="Times New Roman" w:hAnsi="Times New Roman"/>
          <w:sz w:val="20"/>
        </w:rPr>
        <w:t>(c) A </w:t>
      </w:r>
      <w:r>
        <w:rPr>
          <w:rFonts w:ascii="Times New Roman" w:hAnsi="Times New Roman"/>
          <w:sz w:val="20"/>
          <w:u w:val="single"/>
        </w:rPr>
        <w:t>Change in Control</w:t>
      </w:r>
      <w:r>
        <w:rPr>
          <w:rFonts w:ascii="Times New Roman" w:hAnsi="Times New Roman"/>
          <w:sz w:val="20"/>
        </w:rPr>
        <w:t xml:space="preserve"> shall be deemed to occur upon the earliest to occur after the date of this Agreement of any of the following events: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Corporate Status</w:t>
      </w:r>
      <w:r>
        <w:rPr>
          <w:rFonts w:ascii="Times New Roman" w:hAnsi="Times New Roman"/>
          <w:sz w:val="20"/>
        </w:rPr>
        <w:t xml:space="preserve"> describes the status of a person as a current or former director of the Company or current or former director, manager, partner, officer, employee, agent or trustee of any other Enterprise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Enforcement 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Enterprise</w:t>
      </w:r>
      <w:r>
        <w:rPr>
          <w:rFonts w:ascii="Times New Roman" w:hAnsi="Times New Roman"/>
          <w:sz w:val="20"/>
        </w:rPr>
        <w:t xml:space="preserv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Independent Counsel</w:t>
      </w:r>
      <w:r>
        <w:rPr>
          <w:rFonts w:ascii="Times New Roman" w:hAnsi="Times New Roman"/>
          <w:sz w:val="20"/>
        </w:rPr>
        <w:t xml:space="preserve">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Person</w:t>
      </w:r>
      <w:r>
        <w:rPr>
          <w:rFonts w:ascii="Times New Roman" w:hAnsi="Times New Roman"/>
          <w:sz w:val="20"/>
        </w:rPr>
        <w:t xml:space="preserve">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240" w:after="0"/>
        <w:jc w:val="left"/>
        <w:rPr>
          <w:rFonts w:ascii="Times New Roman" w:hAnsi="Times New Roman"/>
          <w:sz w:val="20"/>
        </w:rPr>
      </w:pPr>
      <w:r>
        <w:rPr>
          <w:rFonts w:ascii="Times New Roman" w:hAnsi="Times New Roman"/>
          <w:sz w:val="20"/>
        </w:rPr>
        <w:t>(j) The term </w:t>
      </w:r>
      <w:r>
        <w:rPr>
          <w:rFonts w:ascii="Times New Roman" w:hAnsi="Times New Roman"/>
          <w:sz w:val="20"/>
          <w:u w:val="single"/>
        </w:rPr>
        <w:t>Proceeding</w:t>
      </w:r>
      <w:r>
        <w:rPr>
          <w:rFonts w:ascii="Times New Roman" w:hAnsi="Times New Roman"/>
          <w:sz w:val="20"/>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hAnsi="Times New Roman"/>
          <w:b/>
          <w:sz w:val="20"/>
        </w:rPr>
        <w:t>Delaware Court</w:t>
      </w:r>
      <w:r>
        <w:rPr>
          <w:rFonts w:ascii="Times New Roman" w:hAnsi="Times New Roman"/>
          <w:sz w:val="20"/>
        </w:rPr>
        <w:t xml:space="preserve">)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240" w:after="0"/>
        <w:jc w:val="left"/>
        <w:rPr>
          <w:rFonts w:ascii="Times New Roman" w:hAnsi="Times New Roman"/>
          <w:sz w:val="20"/>
        </w:rPr>
      </w:pPr>
      <w:r>
        <w:rPr>
          <w:rFonts w:ascii="Times New Roman" w:hAnsi="Times New Roman"/>
          <w:sz w:val="20"/>
        </w:rPr>
        <w:t>Section 5. I</w:t>
      </w:r>
      <w:r>
        <w:rPr>
          <w:rFonts w:ascii="Times New Roman" w:hAnsi="Times New Roman"/>
          <w:sz w:val="20"/>
          <w:u w:val="single"/>
        </w:rPr>
        <w:t>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w:t>
      </w:r>
      <w:r>
        <w:rPr>
          <w:rFonts w:ascii="Times New Roman" w:hAnsi="Times New Roman"/>
          <w:sz w:val="20"/>
        </w:rPr>
        <w:t xml:space="preserve">. Notwithstanding any provision in this Agreement to the contrary, the Company shall not be obligated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w:t>
      </w:r>
      <w:r>
        <w:rPr>
          <w:rFonts w:ascii="Times New Roman" w:hAnsi="Times New Roman"/>
          <w:sz w:val="20"/>
          <w:u w:val="single"/>
        </w:rPr>
        <w:t>provided</w:t>
      </w:r>
      <w:r>
        <w:rPr>
          <w:rFonts w:ascii="Times New Roman" w:hAnsi="Times New Roman"/>
          <w:sz w:val="20"/>
        </w:rPr>
        <w:t xml:space="preserve"> that the foregoing shall not affect the rights of Indemnitee or the Fund Indemnitors as set forth in Section 13(c)]; </w:t>
      </w:r>
    </w:p>
    <w:p>
      <w:pPr>
        <w:pStyle w:val="TextBody"/>
        <w:bidi w:val="0"/>
        <w:spacing w:before="240" w:after="0"/>
        <w:jc w:val="left"/>
        <w:rPr>
          <w:rFonts w:ascii="Times New Roman" w:hAnsi="Times New Roman"/>
          <w:sz w:val="20"/>
        </w:rPr>
      </w:pPr>
      <w:r>
        <w:rPr>
          <w:rFonts w:ascii="Times New Roman" w:hAnsi="Times New Roman"/>
          <w:sz w:val="20"/>
        </w:rPr>
        <w:t>(b)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w:t>
      </w:r>
      <w:r>
        <w:rPr>
          <w:rFonts w:ascii="Times New Roman" w:hAnsi="Times New Roman"/>
          <w:b/>
          <w:sz w:val="20"/>
        </w:rPr>
        <w:t>SOX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240" w:after="0"/>
        <w:jc w:val="left"/>
        <w:rPr>
          <w:rFonts w:ascii="Times New Roman" w:hAnsi="Times New Roman"/>
          <w:sz w:val="20"/>
        </w:rPr>
      </w:pPr>
      <w:r>
        <w:rPr>
          <w:rFonts w:ascii="Times New Roman" w:hAnsi="Times New Roman"/>
          <w:sz w:val="20"/>
        </w:rPr>
        <w:t xml:space="preserve">(d)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Procedure for Notification and Defense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hAnsi="Times New Roman"/>
          <w:sz w:val="20"/>
          <w:u w:val="single"/>
        </w:rPr>
        <w:t>provided</w:t>
      </w:r>
      <w:r>
        <w:rPr>
          <w:rFonts w:ascii="Times New Roman" w:hAnsi="Times New Roman"/>
          <w:sz w:val="20"/>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Procedure Upon Application for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Presumptions and Effect of Certain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24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w:t>
      </w:r>
      <w:r>
        <w:rPr>
          <w:rFonts w:ascii="Times New Roman" w:hAnsi="Times New Roman"/>
          <w:sz w:val="20"/>
          <w:u w:val="single"/>
        </w:rPr>
        <w:t>nolo</w:t>
      </w:r>
      <w:r>
        <w:rPr>
          <w:rFonts w:ascii="Times New Roman" w:hAnsi="Times New Roman"/>
          <w:sz w:val="20"/>
        </w:rPr>
        <w:t xml:space="preserve"> </w:t>
      </w:r>
      <w:r>
        <w:rPr>
          <w:rFonts w:ascii="Times New Roman" w:hAnsi="Times New Roman"/>
          <w:sz w:val="20"/>
          <w:u w:val="single"/>
        </w:rPr>
        <w:t>contendere</w:t>
      </w:r>
      <w:r>
        <w:rPr>
          <w:rFonts w:ascii="Times New Roman" w:hAnsi="Times New Roman"/>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Non-exclusivity; Survival of Rights; Insurance; [Primacy of Indemnification;]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in each case substantially concurrently with the delivery or receipt thereof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Company hereby acknowledges that Indemnitee has certain rights to indemnification, advancement of expenses and/or insurance provided by [Name of Fund/Sponsor] and certain of [its][their] affiliates (collectively, the </w:t>
      </w:r>
      <w:r>
        <w:rPr>
          <w:rFonts w:ascii="Times New Roman" w:hAnsi="Times New Roman"/>
          <w:b/>
          <w:sz w:val="20"/>
        </w:rPr>
        <w:t>Fund Indemnitors</w:t>
      </w:r>
      <w:r>
        <w:rPr>
          <w:rFonts w:ascii="Times New Roman" w:hAnsi="Times New Roman"/>
          <w:sz w:val="20"/>
        </w:rPr>
        <w:t>). The Company hereby agrees (i) that it is the indemnitor of first resort (</w:t>
      </w:r>
      <w:r>
        <w:rPr>
          <w:rFonts w:ascii="Times New Roman" w:hAnsi="Times New Roman"/>
          <w:i/>
          <w:sz w:val="20"/>
        </w:rPr>
        <w:t>i.e.</w:t>
      </w:r>
      <w:r>
        <w:rPr>
          <w:rFonts w:ascii="Times New Roman" w:hAnsi="Times New Roman"/>
          <w:sz w:val="20"/>
        </w:rPr>
        <w:t xml:space="preserv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the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24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Astera Labs, Inc. </w:t>
      </w:r>
    </w:p>
    <w:p>
      <w:pPr>
        <w:pStyle w:val="TextBody"/>
        <w:bidi w:val="0"/>
        <w:spacing w:before="0" w:after="0"/>
        <w:jc w:val="left"/>
        <w:rPr>
          <w:rFonts w:ascii="Times New Roman" w:hAnsi="Times New Roman"/>
          <w:sz w:val="20"/>
        </w:rPr>
      </w:pPr>
      <w:r>
        <w:rPr>
          <w:rFonts w:ascii="Times New Roman" w:hAnsi="Times New Roman"/>
          <w:sz w:val="20"/>
        </w:rPr>
        <w:t xml:space="preserve">2901 Tasman Dr., Suite 205 </w:t>
      </w:r>
    </w:p>
    <w:p>
      <w:pPr>
        <w:pStyle w:val="TextBody"/>
        <w:bidi w:val="0"/>
        <w:spacing w:before="0" w:after="0"/>
        <w:jc w:val="left"/>
        <w:rPr>
          <w:rFonts w:ascii="Times New Roman" w:hAnsi="Times New Roman"/>
          <w:sz w:val="20"/>
        </w:rPr>
      </w:pPr>
      <w:r>
        <w:rPr>
          <w:rFonts w:ascii="Times New Roman" w:hAnsi="Times New Roman"/>
          <w:sz w:val="20"/>
        </w:rPr>
        <w:t xml:space="preserve">Santa Clara, CA 95054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The Company intends for this Agreement to comply with the Indemnification exception under Section 1.409A-1(b)(10) of the regulations promulgated under the Internal Revenue Code of 1986, as amended (the </w:t>
      </w:r>
      <w:r>
        <w:rPr>
          <w:rFonts w:ascii="Times New Roman" w:hAnsi="Times New Roman"/>
          <w:b/>
          <w:sz w:val="20"/>
        </w:rPr>
        <w:t>Code</w:t>
      </w:r>
      <w:r>
        <w:rPr>
          <w:rFonts w:ascii="Times New Roman" w:hAnsi="Times New Roman"/>
          <w:sz w:val="20"/>
        </w:rPr>
        <w:t xml:space="preserv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Astera Labs,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[Name of Indemnitee]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AGREEMENT </w:t>
      </w:r>
    </w:p>
    <w:p>
      <w:pPr>
        <w:pStyle w:val="TextBody"/>
        <w:bidi w:val="0"/>
        <w:spacing w:before="240" w:after="0"/>
        <w:jc w:val="left"/>
        <w:rPr>
          <w:rFonts w:ascii="Times New Roman" w:hAnsi="Times New Roman"/>
          <w:sz w:val="20"/>
        </w:rPr>
      </w:pPr>
      <w:r>
        <w:rPr>
          <w:rFonts w:ascii="Times New Roman" w:hAnsi="Times New Roman"/>
          <w:sz w:val="20"/>
        </w:rPr>
        <w:t>This Indemnification Agreement (</w:t>
      </w:r>
      <w:r>
        <w:rPr>
          <w:rFonts w:ascii="Times New Roman" w:hAnsi="Times New Roman"/>
          <w:b/>
          <w:sz w:val="20"/>
        </w:rPr>
        <w:t>Agreement</w:t>
      </w:r>
      <w:r>
        <w:rPr>
          <w:rFonts w:ascii="Times New Roman" w:hAnsi="Times New Roman"/>
          <w:sz w:val="20"/>
        </w:rPr>
        <w:t>) is made as of ________________ by and between Astera Labs, Inc., a Delaware corporation (the </w:t>
      </w:r>
      <w:r>
        <w:rPr>
          <w:rFonts w:ascii="Times New Roman" w:hAnsi="Times New Roman"/>
          <w:b/>
          <w:sz w:val="20"/>
        </w:rPr>
        <w:t>Company</w:t>
      </w:r>
      <w:r>
        <w:rPr>
          <w:rFonts w:ascii="Times New Roman" w:hAnsi="Times New Roman"/>
          <w:sz w:val="20"/>
        </w:rPr>
        <w:t>), and ____________ (</w:t>
      </w:r>
      <w:r>
        <w:rPr>
          <w:rFonts w:ascii="Times New Roman" w:hAnsi="Times New Roman"/>
          <w:b/>
          <w:sz w:val="20"/>
        </w:rPr>
        <w:t>Indemnitee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attract and retain the services of highly qualified individuals, such as Indemnitee, to serve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Indemnitee to [provide or continue to provide] services to the Company, the Company wishes to provide for the indemnification of, and advancement of expenses to, Indemnitee to the maximum extent permitted by law; </w:t>
      </w:r>
    </w:p>
    <w:p>
      <w:pPr>
        <w:pStyle w:val="TextBody"/>
        <w:bidi w:val="0"/>
        <w:spacing w:before="240" w:after="0"/>
        <w:jc w:val="left"/>
        <w:rPr>
          <w:rFonts w:ascii="Times New Roman" w:hAnsi="Times New Roman"/>
          <w:sz w:val="20"/>
        </w:rPr>
      </w:pPr>
      <w:r>
        <w:rPr>
          <w:rFonts w:ascii="Times New Roman" w:hAnsi="Times New Roman"/>
          <w:sz w:val="20"/>
        </w:rPr>
        <w:t>WHEREAS, the Certificate of Incorporation (the </w:t>
      </w:r>
      <w:r>
        <w:rPr>
          <w:rFonts w:ascii="Times New Roman" w:hAnsi="Times New Roman"/>
          <w:b/>
          <w:sz w:val="20"/>
        </w:rPr>
        <w:t>Charter</w:t>
      </w:r>
      <w:r>
        <w:rPr>
          <w:rFonts w:ascii="Times New Roman" w:hAnsi="Times New Roman"/>
          <w:sz w:val="20"/>
        </w:rPr>
        <w:t>) and the Bylaws (the </w:t>
      </w:r>
      <w:r>
        <w:rPr>
          <w:rFonts w:ascii="Times New Roman" w:hAnsi="Times New Roman"/>
          <w:b/>
          <w:sz w:val="20"/>
        </w:rPr>
        <w:t>Bylaws</w:t>
      </w:r>
      <w:r>
        <w:rPr>
          <w:rFonts w:ascii="Times New Roman" w:hAnsi="Times New Roman"/>
          <w:sz w:val="20"/>
        </w:rPr>
        <w:t>) of the Company require indemnification of the officers and directors of the Company, and Indemnitee may also be entitled to indemnification pursuant to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Charter, the Bylaws and the DGCL expressly provide that the indemnification provisions set forth therein are not exclusive, and thereby contemplate that contracts may be entered into between the Company and members of the Board of Directors of the Company (the </w:t>
      </w:r>
      <w:r>
        <w:rPr>
          <w:rFonts w:ascii="Times New Roman" w:hAnsi="Times New Roman"/>
          <w:b/>
          <w:sz w:val="20"/>
        </w:rPr>
        <w:t>Board</w:t>
      </w:r>
      <w:r>
        <w:rPr>
          <w:rFonts w:ascii="Times New Roman" w:hAnsi="Times New Roman"/>
          <w:sz w:val="20"/>
        </w:rPr>
        <w:t xml:space="preserve">), officers and other persons with respect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has determined that the increased difficulty in attracting and retaining highly qualified persons such as Indemnitee is detrimental to the best interests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supplement to and in furtherance of the indemnification provided in the Charter, the Bylaws and any resolutions adopted pursuant thereto,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covenants contained herein, the Company and Indemnitee do hereby covenant and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Services to the Company</w:t>
      </w:r>
      <w:r>
        <w:rPr>
          <w:rFonts w:ascii="Times New Roman" w:hAnsi="Times New Roman"/>
          <w:sz w:val="20"/>
        </w:rPr>
        <w:t xml:space="preserve">.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 and Associate</w:t>
      </w:r>
      <w:r>
        <w:rPr>
          <w:rFonts w:ascii="Times New Roman" w:hAnsi="Times New Roman"/>
          <w:sz w:val="20"/>
        </w:rPr>
        <w:t> shall have the respective meanings ascribed to such terms in Rule 12b-2 of the General Rules and Regulations under the Securities Exchange Act of 1934, as amended (the </w:t>
      </w:r>
      <w:r>
        <w:rPr>
          <w:rFonts w:ascii="Times New Roman" w:hAnsi="Times New Roman"/>
          <w:b/>
          <w:sz w:val="20"/>
        </w:rPr>
        <w:t>Exchange Act</w:t>
      </w:r>
      <w:r>
        <w:rPr>
          <w:rFonts w:ascii="Times New Roman" w:hAnsi="Times New Roman"/>
          <w:sz w:val="20"/>
        </w:rPr>
        <w:t xml:space="preserve">),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A Person shall be deemed the Beneficial Owner of, and shall be deemed to Beneficially Own and have Beneficial Ownership of,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(i) which such Person or any of such Persons Affiliates or Associates, directly or indirectly, Beneficially Owns (as determined pursuant to Rule 13d-3 of the Rules under the Exchange Act,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 Person engaged in business as an underwriter of securities shall be deemed the Beneficial Owner of any securities acquired through such Persons participation as an underwriter in good faith in a firm commitment underwriting. </w:t>
      </w:r>
    </w:p>
    <w:p>
      <w:pPr>
        <w:pStyle w:val="TextBody"/>
        <w:bidi w:val="0"/>
        <w:spacing w:before="240" w:after="0"/>
        <w:jc w:val="left"/>
        <w:rPr>
          <w:rFonts w:ascii="Times New Roman" w:hAnsi="Times New Roman"/>
          <w:sz w:val="20"/>
        </w:rPr>
      </w:pPr>
      <w:r>
        <w:rPr>
          <w:rFonts w:ascii="Times New Roman" w:hAnsi="Times New Roman"/>
          <w:sz w:val="20"/>
        </w:rPr>
        <w:t>(c) A </w:t>
      </w:r>
      <w:r>
        <w:rPr>
          <w:rFonts w:ascii="Times New Roman" w:hAnsi="Times New Roman"/>
          <w:sz w:val="20"/>
          <w:u w:val="single"/>
        </w:rPr>
        <w:t>Change in Control</w:t>
      </w:r>
      <w:r>
        <w:rPr>
          <w:rFonts w:ascii="Times New Roman" w:hAnsi="Times New Roman"/>
          <w:sz w:val="20"/>
        </w:rPr>
        <w:t> shall be deemed to occur upon the earliest to occur after the date of this Agreement of any of the following events</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Acquisition of Stock by Third Party</w:t>
      </w:r>
      <w:r>
        <w:rPr>
          <w:rFonts w:ascii="Times New Roman" w:hAnsi="Times New Roman"/>
          <w:sz w:val="20"/>
        </w:rPr>
        <w:t xml:space="preserve">.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Board of Directors</w:t>
      </w:r>
      <w:r>
        <w:rPr>
          <w:rFonts w:ascii="Times New Roman" w:hAnsi="Times New Roman"/>
          <w:sz w:val="20"/>
        </w:rPr>
        <w:t xml:space="preserve">.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Corporate Transactions</w:t>
      </w:r>
      <w:r>
        <w:rPr>
          <w:rFonts w:ascii="Times New Roman" w:hAnsi="Times New Roman"/>
          <w:sz w:val="20"/>
        </w:rPr>
        <w:t xml:space="preserve">.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Liquidation</w:t>
      </w:r>
      <w:r>
        <w:rPr>
          <w:rFonts w:ascii="Times New Roman" w:hAnsi="Times New Roman"/>
          <w:sz w:val="20"/>
        </w:rPr>
        <w:t xml:space="preserve">. The approval by the stockholders of the Company of a complete liquidation of the Company or an agreement for the sale, lease, exchange or other transfer by the Company, in one or a series of related transactions, of all or substantially all of the Companys assets;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Other Events</w:t>
      </w:r>
      <w:r>
        <w:rPr>
          <w:rFonts w:ascii="Times New Roman" w:hAnsi="Times New Roman"/>
          <w:sz w:val="20"/>
        </w:rPr>
        <w:t xml:space="preserve">.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Corporate Status</w:t>
      </w:r>
      <w:r>
        <w:rPr>
          <w:rFonts w:ascii="Times New Roman" w:hAnsi="Times New Roman"/>
          <w:sz w:val="20"/>
        </w:rPr>
        <w:t xml:space="preserve"> describes the status of a person as a current or former [director or] officer of the Company or current or former director, manager, partner, officer, employee, agent or trustee of any other Enterprise which such person is or was serving at the request of the Company.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Enforcement 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Enterprise</w:t>
      </w:r>
      <w:r>
        <w:rPr>
          <w:rFonts w:ascii="Times New Roman" w:hAnsi="Times New Roman"/>
          <w:sz w:val="20"/>
        </w:rPr>
        <w:t xml:space="preserv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Independent Counsel</w:t>
      </w:r>
      <w:r>
        <w:rPr>
          <w:rFonts w:ascii="Times New Roman" w:hAnsi="Times New Roman"/>
          <w:sz w:val="20"/>
        </w:rPr>
        <w:t xml:space="preserve">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Person</w:t>
      </w:r>
      <w:r>
        <w:rPr>
          <w:rFonts w:ascii="Times New Roman" w:hAnsi="Times New Roman"/>
          <w:sz w:val="20"/>
        </w:rPr>
        <w:t xml:space="preserve">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The term </w:t>
      </w:r>
      <w:r>
        <w:rPr>
          <w:rFonts w:ascii="Times New Roman" w:hAnsi="Times New Roman"/>
          <w:sz w:val="20"/>
          <w:u w:val="single"/>
        </w:rPr>
        <w:t>Proceeding</w:t>
      </w:r>
      <w:r>
        <w:rPr>
          <w:rFonts w:ascii="Times New Roman" w:hAnsi="Times New Roman"/>
          <w:sz w:val="20"/>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Proceeding shall not include any action, suit or arbitration, or part thereof, initiated by Indemnitee to enforce Indemnitees rights under this Agreement as provided for in Section 12(a)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in Third-Party Proceedings</w:t>
      </w:r>
      <w:r>
        <w:rPr>
          <w:rFonts w:ascii="Times New Roman" w:hAnsi="Times New Roman"/>
          <w:sz w:val="20"/>
        </w:rPr>
        <w:t xml:space="preserve">.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Indemnity in Proceedings by or in the Right of the Company</w:t>
      </w:r>
      <w:r>
        <w:rPr>
          <w:rFonts w:ascii="Times New Roman" w:hAnsi="Times New Roman"/>
          <w:sz w:val="20"/>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Times New Roman" w:hAnsi="Times New Roman"/>
          <w:b/>
          <w:sz w:val="20"/>
        </w:rPr>
        <w:t>Delaware Court</w:t>
      </w:r>
      <w:r>
        <w:rPr>
          <w:rFonts w:ascii="Times New Roman" w:hAnsi="Times New Roman"/>
          <w:sz w:val="20"/>
        </w:rPr>
        <w:t xml:space="preserve">) shall determine upon application that, despite the adjudication of liability but in view of all the circumstances of the case, Indemnitee is fairly and reasonably entitled to indemnification for such expenses as the Delaware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Indemnification for Expenses of a Party Who is Wholly or Partly Successful</w:t>
      </w:r>
      <w:r>
        <w:rPr>
          <w:rFonts w:ascii="Times New Roman" w:hAnsi="Times New Roman"/>
          <w:sz w:val="20"/>
        </w:rPr>
        <w:t xml:space="preserve">.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for Expenses of a Witness or in Response to a Subpoena</w:t>
      </w:r>
      <w:r>
        <w:rPr>
          <w:rFonts w:ascii="Times New Roman" w:hAnsi="Times New Roman"/>
          <w:sz w:val="20"/>
        </w:rPr>
        <w:t xml:space="preserve">.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Exclusions. Notwithstanding any provision in this Agreement to the contrary, the Company shall not be obligated under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set forth in Section 13(c)]; </w:t>
      </w:r>
    </w:p>
    <w:p>
      <w:pPr>
        <w:pStyle w:val="TextBody"/>
        <w:bidi w:val="0"/>
        <w:spacing w:before="240" w:after="0"/>
        <w:jc w:val="left"/>
        <w:rPr>
          <w:rFonts w:ascii="Times New Roman" w:hAnsi="Times New Roman"/>
          <w:sz w:val="20"/>
        </w:rPr>
      </w:pPr>
      <w:r>
        <w:rPr>
          <w:rFonts w:ascii="Times New Roman" w:hAnsi="Times New Roman"/>
          <w:sz w:val="20"/>
        </w:rPr>
        <w:t>(b)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w:t>
      </w:r>
      <w:r>
        <w:rPr>
          <w:rFonts w:ascii="Times New Roman" w:hAnsi="Times New Roman"/>
          <w:b/>
          <w:sz w:val="20"/>
        </w:rPr>
        <w:t>SOX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 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 </w:t>
      </w:r>
    </w:p>
    <w:p>
      <w:pPr>
        <w:pStyle w:val="TextBody"/>
        <w:bidi w:val="0"/>
        <w:spacing w:before="240" w:after="0"/>
        <w:jc w:val="left"/>
        <w:rPr>
          <w:rFonts w:ascii="Times New Roman" w:hAnsi="Times New Roman"/>
          <w:sz w:val="20"/>
        </w:rPr>
      </w:pPr>
      <w:r>
        <w:rPr>
          <w:rFonts w:ascii="Times New Roman" w:hAnsi="Times New Roman"/>
          <w:sz w:val="20"/>
        </w:rPr>
        <w:t xml:space="preserve">(e) to provide any indemnification or advancement of expenses that is prohibited by applicable law (as such law exists at the time payment would otherwise be required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Advancement of Expenses</w:t>
      </w:r>
      <w:r>
        <w:rPr>
          <w:rFonts w:ascii="Times New Roman" w:hAnsi="Times New Roman"/>
          <w:sz w:val="20"/>
        </w:rPr>
        <w:t xml:space="preserve">.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Procedure for Notification and Defense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Times New Roman" w:hAnsi="Times New Roman"/>
          <w:sz w:val="20"/>
          <w:u w:val="single"/>
        </w:rPr>
        <w:t>provided</w:t>
      </w:r>
      <w:r>
        <w:rPr>
          <w:rFonts w:ascii="Times New Roman" w:hAnsi="Times New Roman"/>
          <w:sz w:val="20"/>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Company does not assume the defense in a Proceeding pursuant to paragraph (b) above, then the Company will be entitled to participate in the Proceeding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Procedure Upon Application for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 </w:t>
      </w:r>
    </w:p>
    <w:p>
      <w:pPr>
        <w:pStyle w:val="TextBody"/>
        <w:bidi w:val="0"/>
        <w:spacing w:before="240" w:after="0"/>
        <w:jc w:val="left"/>
        <w:rPr>
          <w:rFonts w:ascii="Times New Roman" w:hAnsi="Times New Roman"/>
          <w:sz w:val="20"/>
        </w:rPr>
      </w:pPr>
      <w:r>
        <w:rPr>
          <w:rFonts w:ascii="Times New Roman" w:hAnsi="Times New Roman"/>
          <w:sz w:val="20"/>
        </w:rPr>
        <w:t xml:space="preserve">(b) If the determination of entitlement to indemnification is to be made by Independent Counsel pursuant to Section 10(a), the Independent Counsel shall be selected by the Board; </w:t>
      </w:r>
      <w:r>
        <w:rPr>
          <w:rFonts w:ascii="Times New Roman" w:hAnsi="Times New Roman"/>
          <w:sz w:val="20"/>
          <w:u w:val="single"/>
        </w:rPr>
        <w:t>provided</w:t>
      </w:r>
      <w:r>
        <w:rPr>
          <w:rFonts w:ascii="Times New Roman" w:hAnsi="Times New Roman"/>
          <w:sz w:val="20"/>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Presumptions and Effect of Certain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 </w:t>
      </w:r>
    </w:p>
    <w:p>
      <w:pPr>
        <w:pStyle w:val="TextBody"/>
        <w:bidi w:val="0"/>
        <w:spacing w:before="240" w:after="0"/>
        <w:jc w:val="left"/>
        <w:rPr>
          <w:rFonts w:ascii="Times New Roman" w:hAnsi="Times New Roman"/>
          <w:sz w:val="20"/>
        </w:rPr>
      </w:pPr>
      <w:r>
        <w:rPr>
          <w:rFonts w:ascii="Times New Roman" w:hAnsi="Times New Roman"/>
          <w:sz w:val="20"/>
        </w:rPr>
        <w:t xml:space="preserve">(b) The termination of any Proceeding or of any claim, issue or matter therein, by judgment, order, settlement or conviction, or upon a plea of guilty, </w:t>
      </w:r>
      <w:r>
        <w:rPr>
          <w:rFonts w:ascii="Times New Roman" w:hAnsi="Times New Roman"/>
          <w:sz w:val="20"/>
          <w:u w:val="single"/>
        </w:rPr>
        <w:t>nolo</w:t>
      </w:r>
      <w:r>
        <w:rPr>
          <w:rFonts w:ascii="Times New Roman" w:hAnsi="Times New Roman"/>
          <w:sz w:val="20"/>
        </w:rPr>
        <w:t xml:space="preserve"> </w:t>
      </w:r>
      <w:r>
        <w:rPr>
          <w:rFonts w:ascii="Times New Roman" w:hAnsi="Times New Roman"/>
          <w:sz w:val="20"/>
          <w:u w:val="single"/>
        </w:rPr>
        <w:t>contendere</w:t>
      </w:r>
      <w:r>
        <w:rPr>
          <w:rFonts w:ascii="Times New Roman" w:hAnsi="Times New Roman"/>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(c) Indemnitee shall be deemed to have acted in good faith if Indemnitees actions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Remedies of Indemnitee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hAnsi="Times New Roman"/>
          <w:sz w:val="20"/>
          <w:u w:val="single"/>
        </w:rPr>
        <w:t>provided</w:t>
      </w:r>
      <w:r>
        <w:rPr>
          <w:rFonts w:ascii="Times New Roman" w:hAnsi="Times New Roman"/>
          <w:sz w:val="20"/>
        </w:rPr>
        <w:t xml:space="preserve">, however, that the foregoing time limitation shall not apply in respect of a proceeding brought by Indemnitee to enforce his or her rights under Section 5 of this Agreement. The Company shall not oppose Indemnitees right to seek any such adjudication or award in arbitration.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in this Agreement to the contrary, no determination as to entitlement to indemnification under this Agreement shall be required to be made prior to the final disposition of the Proceeding, including any appeal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Non-Exclusivity; Survival of Rights; Insurance; Subrogation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 in each case substantially concurrently with the delivery or receipt thereof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Duration of Agreement</w:t>
      </w:r>
      <w:r>
        <w:rPr>
          <w:rFonts w:ascii="Times New Roman" w:hAnsi="Times New Roman"/>
          <w:sz w:val="20"/>
        </w:rPr>
        <w:t xml:space="preserve">.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Severability</w:t>
      </w:r>
      <w:r>
        <w:rPr>
          <w:rFonts w:ascii="Times New Roman" w:hAnsi="Times New Roman"/>
          <w:sz w:val="20"/>
        </w:rPr>
        <w:t xml:space="preserve">.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Agreement is a supplement to and in furtherance of the Charter, the Bylaws and applicable law, and shall not be deemed a substitute therefor, nor to diminish or abrogate any rights of Indemnitee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Modification and Waiver</w:t>
      </w:r>
      <w:r>
        <w:rPr>
          <w:rFonts w:ascii="Times New Roman" w:hAnsi="Times New Roman"/>
          <w:sz w:val="20"/>
        </w:rPr>
        <w:t xml:space="preserve">.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Notice by Indemnitee</w:t>
      </w:r>
      <w:r>
        <w:rPr>
          <w:rFonts w:ascii="Times New Roman" w:hAnsi="Times New Roman"/>
          <w:sz w:val="20"/>
        </w:rPr>
        <w:t xml:space="preserve">.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Notices</w:t>
      </w:r>
      <w:r>
        <w:rPr>
          <w:rFonts w:ascii="Times New Roman" w:hAnsi="Times New Roman"/>
          <w:sz w:val="20"/>
        </w:rPr>
        <w:t xml:space="preserve">.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 </w:t>
      </w:r>
    </w:p>
    <w:p>
      <w:pPr>
        <w:pStyle w:val="TextBody"/>
        <w:bidi w:val="0"/>
        <w:spacing w:before="240" w:after="0"/>
        <w:jc w:val="left"/>
        <w:rPr>
          <w:rFonts w:ascii="Times New Roman" w:hAnsi="Times New Roman"/>
          <w:sz w:val="20"/>
        </w:rPr>
      </w:pPr>
      <w:r>
        <w:rPr>
          <w:rFonts w:ascii="Times New Roman" w:hAnsi="Times New Roman"/>
          <w:sz w:val="20"/>
        </w:rPr>
        <w:t xml:space="preserve">(a) If to Indemnitee, at such address as Indemnitee shall provide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Astera Labs, Inc. </w:t>
      </w:r>
    </w:p>
    <w:p>
      <w:pPr>
        <w:pStyle w:val="TextBody"/>
        <w:bidi w:val="0"/>
        <w:spacing w:before="0" w:after="0"/>
        <w:jc w:val="left"/>
        <w:rPr>
          <w:rFonts w:ascii="Times New Roman" w:hAnsi="Times New Roman"/>
          <w:sz w:val="20"/>
        </w:rPr>
      </w:pPr>
      <w:r>
        <w:rPr>
          <w:rFonts w:ascii="Times New Roman" w:hAnsi="Times New Roman"/>
          <w:sz w:val="20"/>
        </w:rPr>
        <w:t xml:space="preserve">2901 Tasman Dr., Suite 205 </w:t>
      </w:r>
    </w:p>
    <w:p>
      <w:pPr>
        <w:pStyle w:val="TextBody"/>
        <w:bidi w:val="0"/>
        <w:spacing w:before="0" w:after="0"/>
        <w:jc w:val="left"/>
        <w:rPr>
          <w:rFonts w:ascii="Times New Roman" w:hAnsi="Times New Roman"/>
          <w:sz w:val="20"/>
        </w:rPr>
      </w:pPr>
      <w:r>
        <w:rPr>
          <w:rFonts w:ascii="Times New Roman" w:hAnsi="Times New Roman"/>
          <w:sz w:val="20"/>
        </w:rPr>
        <w:t xml:space="preserve">Santa Clara, CA 95054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or to any other address as may have been furnished to Indemnitee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 </w:t>
      </w:r>
      <w:r>
        <w:rPr>
          <w:rFonts w:ascii="Times New Roman" w:hAnsi="Times New Roman"/>
          <w:sz w:val="20"/>
          <w:u w:val="single"/>
        </w:rPr>
        <w:t>Contribution</w:t>
      </w:r>
      <w:r>
        <w:rPr>
          <w:rFonts w:ascii="Times New Roman" w:hAnsi="Times New Roman"/>
          <w:sz w:val="20"/>
        </w:rPr>
        <w:t xml:space="preserve">.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Internal Revenue Code Section 409A</w:t>
      </w:r>
      <w:r>
        <w:rPr>
          <w:rFonts w:ascii="Times New Roman" w:hAnsi="Times New Roman"/>
          <w:sz w:val="20"/>
        </w:rPr>
        <w:t>. The Company intends for this Agreement to comply with the Indemnification exception under Section 1.409A-1(b)(10) of the regulations promulgated under the Internal Revenue Code of 1986, as amended (the </w:t>
      </w:r>
      <w:r>
        <w:rPr>
          <w:rFonts w:ascii="Times New Roman" w:hAnsi="Times New Roman"/>
          <w:b/>
          <w:sz w:val="20"/>
        </w:rPr>
        <w:t>Code</w:t>
      </w:r>
      <w:r>
        <w:rPr>
          <w:rFonts w:ascii="Times New Roman" w:hAnsi="Times New Roman"/>
          <w:sz w:val="20"/>
        </w:rPr>
        <w:t xml:space="preserv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Applicable Law and Consent to Jurisdiction</w:t>
      </w:r>
      <w:r>
        <w:rPr>
          <w:rFonts w:ascii="Times New Roman" w:hAnsi="Times New Roman"/>
          <w:sz w:val="20"/>
        </w:rPr>
        <w:t xml:space="preserve">.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Headings</w:t>
      </w:r>
      <w:r>
        <w:rPr>
          <w:rFonts w:ascii="Times New Roman" w:hAnsi="Times New Roman"/>
          <w:sz w:val="20"/>
        </w:rPr>
        <w:t xml:space="preserve">. The headings of the paragraphs of this Agreement are inserted for convenience only and shall not be deemed to constitute part of this Agreement or to affect the construction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Identical Counterparts</w:t>
      </w:r>
      <w:r>
        <w:rPr>
          <w:rFonts w:ascii="Times New Roman" w:hAnsi="Times New Roman"/>
          <w:sz w:val="20"/>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Monetary Damages Insufficient/Specific Enforcement</w:t>
      </w:r>
      <w:r>
        <w:rPr>
          <w:rFonts w:ascii="Times New Roman" w:hAnsi="Times New Roman"/>
          <w:sz w:val="20"/>
        </w:rPr>
        <w:t xml:space="preserve">.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signed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Astera Labs,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Name:</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[Name of Indemnitee]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right"/>
        <w:rPr>
          <w:rFonts w:ascii="Times New Roman" w:hAnsi="Times New Roman"/>
          <w:b/>
          <w:sz w:val="20"/>
        </w:rPr>
      </w:pPr>
      <w:bookmarkStart w:id="45" w:name="d285484dex105.htm"/>
      <w:bookmarkStart w:id="46" w:name="ksd285484dex105"/>
      <w:bookmarkEnd w:id="45"/>
      <w:bookmarkEnd w:id="46"/>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CHANGE OF CONTROL SEVERANCE POLICY </w:t>
      </w:r>
    </w:p>
    <w:p>
      <w:pPr>
        <w:pStyle w:val="TextBody"/>
        <w:bidi w:val="0"/>
        <w:spacing w:before="0" w:after="0"/>
        <w:jc w:val="center"/>
        <w:rPr>
          <w:rFonts w:ascii="Times New Roman" w:hAnsi="Times New Roman"/>
          <w:b/>
          <w:sz w:val="20"/>
        </w:rPr>
      </w:pPr>
      <w:r>
        <w:rPr>
          <w:rFonts w:ascii="Times New Roman" w:hAnsi="Times New Roman"/>
          <w:b/>
          <w:sz w:val="20"/>
        </w:rPr>
        <w:t xml:space="preserve">FOR PRINCIPAL EXECUTIVE OFFICERS </w:t>
      </w:r>
    </w:p>
    <w:p>
      <w:pPr>
        <w:pStyle w:val="TextBody"/>
        <w:bidi w:val="0"/>
        <w:spacing w:before="240" w:after="0"/>
        <w:jc w:val="center"/>
        <w:rPr>
          <w:rFonts w:ascii="Times New Roman" w:hAnsi="Times New Roman"/>
          <w:sz w:val="20"/>
        </w:rPr>
      </w:pPr>
      <w:r>
        <w:rPr>
          <w:rFonts w:ascii="Times New Roman" w:hAnsi="Times New Roman"/>
          <w:sz w:val="20"/>
        </w:rPr>
        <w:t xml:space="preserve">Effective August 9, 2023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Purpose</w:t>
      </w:r>
      <w:r>
        <w:rPr>
          <w:rFonts w:ascii="Times New Roman" w:hAnsi="Times New Roman"/>
          <w:sz w:val="20"/>
        </w:rPr>
        <w:t xml:space="preserve">. The purpose of this Astera Labs, Inc. Change of Control Severance Policy for Principal Executive Officers (the CoC Severance Policy) is to provide a fair framework in the event of the termination of employment of one or more key executive officers (an Executive) of Astera Labs, Inc. or its subsidiaries (collectively,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Covered Principal Executive Officers</w:t>
      </w:r>
      <w:r>
        <w:rPr>
          <w:rFonts w:ascii="Times New Roman" w:hAnsi="Times New Roman"/>
          <w:sz w:val="20"/>
        </w:rPr>
        <w:t xml:space="preserve">. This CoC Severance Policy shall be applicable to each Executive to the extent such Executive has been designated and notified in writing by the Company upon nomination by the Chief Executive Officer (the CEO) and approval of the Board of Directors (the Board) or a delegated committee of the Board of Directors (the Committee).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Administration of the CoC Severance Policy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Administrator</w:t>
      </w:r>
      <w:r>
        <w:rPr>
          <w:rFonts w:ascii="Times New Roman" w:hAnsi="Times New Roman"/>
          <w:sz w:val="20"/>
        </w:rPr>
        <w:t xml:space="preserve">. The CoC Severance Policy shall be administered by the Board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Powers of Administrator</w:t>
      </w:r>
      <w:r>
        <w:rPr>
          <w:rFonts w:ascii="Times New Roman" w:hAnsi="Times New Roman"/>
          <w:sz w:val="20"/>
        </w:rPr>
        <w:t xml:space="preserve">. The Administrator shall have all powers necessary to enable it properly to carry out its duties with respect to the complete control of the administration of the CoC Severance Policy. Not in limitation, but in amplification of the foregoing, the Administrator shall have the power and authority in its discretion to: </w:t>
      </w:r>
    </w:p>
    <w:p>
      <w:pPr>
        <w:pStyle w:val="TextBody"/>
        <w:bidi w:val="0"/>
        <w:spacing w:before="120" w:after="0"/>
        <w:jc w:val="left"/>
        <w:rPr>
          <w:rFonts w:ascii="Times New Roman" w:hAnsi="Times New Roman"/>
          <w:sz w:val="20"/>
        </w:rPr>
      </w:pPr>
      <w:r>
        <w:rPr>
          <w:rFonts w:ascii="Times New Roman" w:hAnsi="Times New Roman"/>
          <w:sz w:val="20"/>
        </w:rPr>
        <w:t xml:space="preserve">(i) construe the CoC Severance Policy to determine all questions that shall arise as to interpretations of the CoC Severance Policys provisions; </w:t>
      </w:r>
    </w:p>
    <w:p>
      <w:pPr>
        <w:pStyle w:val="TextBody"/>
        <w:bidi w:val="0"/>
        <w:spacing w:before="120" w:after="0"/>
        <w:jc w:val="left"/>
        <w:rPr>
          <w:rFonts w:ascii="Times New Roman" w:hAnsi="Times New Roman"/>
          <w:sz w:val="20"/>
        </w:rPr>
      </w:pPr>
      <w:r>
        <w:rPr>
          <w:rFonts w:ascii="Times New Roman" w:hAnsi="Times New Roman"/>
          <w:sz w:val="20"/>
        </w:rPr>
        <w:t xml:space="preserve">(ii) determine which individuals are and are not Executives under the CoC Severance Policy, determine the benefits to which any Executives may be entitled, the eligibility requirements for participation in the CoC Severance Policy and all other matters pertaining to the CoC Severance Policy; </w:t>
      </w:r>
    </w:p>
    <w:p>
      <w:pPr>
        <w:pStyle w:val="TextBody"/>
        <w:bidi w:val="0"/>
        <w:spacing w:before="120" w:after="0"/>
        <w:jc w:val="left"/>
        <w:rPr>
          <w:rFonts w:ascii="Times New Roman" w:hAnsi="Times New Roman"/>
          <w:sz w:val="20"/>
        </w:rPr>
      </w:pPr>
      <w:r>
        <w:rPr>
          <w:rFonts w:ascii="Times New Roman" w:hAnsi="Times New Roman"/>
          <w:sz w:val="20"/>
        </w:rPr>
        <w:t xml:space="preserve">(iii) adopt amendments to the CoC Severance Policy which are deemed necessary or desirable to comply with all applicable laws and regulations, including but not limited to Code Section 409A and the guidance thereunder; </w:t>
      </w:r>
    </w:p>
    <w:p>
      <w:pPr>
        <w:pStyle w:val="TextBody"/>
        <w:bidi w:val="0"/>
        <w:spacing w:before="120" w:after="0"/>
        <w:jc w:val="left"/>
        <w:rPr>
          <w:rFonts w:ascii="Times New Roman" w:hAnsi="Times New Roman"/>
          <w:sz w:val="20"/>
        </w:rPr>
      </w:pPr>
      <w:r>
        <w:rPr>
          <w:rFonts w:ascii="Times New Roman" w:hAnsi="Times New Roman"/>
          <w:sz w:val="20"/>
        </w:rPr>
        <w:t xml:space="preserve">(iv) make all determinations it deems advisable for the administration of the CoC Severance Policy, including the authority and ability to delegate administrative functions to a third party; </w:t>
      </w:r>
    </w:p>
    <w:p>
      <w:pPr>
        <w:pStyle w:val="TextBody"/>
        <w:bidi w:val="0"/>
        <w:spacing w:before="120" w:after="0"/>
        <w:jc w:val="left"/>
        <w:rPr>
          <w:rFonts w:ascii="Times New Roman" w:hAnsi="Times New Roman"/>
          <w:sz w:val="20"/>
        </w:rPr>
      </w:pPr>
      <w:r>
        <w:rPr>
          <w:rFonts w:ascii="Times New Roman" w:hAnsi="Times New Roman"/>
          <w:sz w:val="20"/>
        </w:rPr>
        <w:t xml:space="preserve">(v) decide all disputes arising in connection with the CoC Severance Policy; and </w:t>
      </w:r>
    </w:p>
    <w:p>
      <w:pPr>
        <w:pStyle w:val="TextBody"/>
        <w:bidi w:val="0"/>
        <w:spacing w:before="120" w:after="0"/>
        <w:jc w:val="left"/>
        <w:rPr>
          <w:rFonts w:ascii="Times New Roman" w:hAnsi="Times New Roman"/>
          <w:sz w:val="20"/>
        </w:rPr>
      </w:pPr>
      <w:r>
        <w:rPr>
          <w:rFonts w:ascii="Times New Roman" w:hAnsi="Times New Roman"/>
          <w:sz w:val="20"/>
        </w:rPr>
        <w:t xml:space="preserve">(vi) otherwise supervise the administration of the CoC Severance Policy. </w:t>
      </w:r>
    </w:p>
    <w:p>
      <w:pPr>
        <w:pStyle w:val="TextBody"/>
        <w:bidi w:val="0"/>
        <w:spacing w:before="240" w:after="0"/>
        <w:jc w:val="left"/>
        <w:rPr>
          <w:rFonts w:ascii="Times New Roman" w:hAnsi="Times New Roman"/>
          <w:sz w:val="20"/>
        </w:rPr>
      </w:pPr>
      <w:r>
        <w:rPr>
          <w:rFonts w:ascii="Times New Roman" w:hAnsi="Times New Roman"/>
          <w:sz w:val="20"/>
        </w:rPr>
        <w:t xml:space="preserve">(c) All decisions and interpretations of the Administrator shall be binding on all persons, including the Company and Executives.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Change of Control</w:t>
      </w:r>
      <w:r>
        <w:rPr>
          <w:rFonts w:ascii="Times New Roman" w:hAnsi="Times New Roman"/>
          <w:sz w:val="20"/>
        </w:rPr>
        <w:t xml:space="preserve">. For the purpose of this CoC Severance Policy, a Change of Control shall mean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provided, however, that the Companys Initial Public Offering, any subsequent public offering or another capital raising event, or a merger effected solely to change the Companys domicile shall not constitute a Change of Control. A transaction shall not constitute a Change of Control if its sole purpose is to create a holding company that will be owned in substantially the same proportions by the persons who held the Companys securities immediately before such transaction. Additionally, an event shall be a Change of Control only if such event also constitutes a change in ownership of the Company or a change in the ownership of a substantial portion of the Companys assets for purposes of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Change of Control Period</w:t>
      </w:r>
      <w:r>
        <w:rPr>
          <w:rFonts w:ascii="Times New Roman" w:hAnsi="Times New Roman"/>
          <w:sz w:val="20"/>
        </w:rPr>
        <w:t xml:space="preserve">. The Change of Control Period shall mean the period commencing on the date that is three (3) months prior to the Effective Date and ending on the twelve (12) month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Effective Date</w:t>
      </w:r>
      <w:r>
        <w:rPr>
          <w:rFonts w:ascii="Times New Roman" w:hAnsi="Times New Roman"/>
          <w:sz w:val="20"/>
        </w:rPr>
        <w:t xml:space="preserve">. The Effective Date shall be the closing date of the transaction on which a Change of Control occurs.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Good Cause</w:t>
      </w:r>
      <w:r>
        <w:rPr>
          <w:rFonts w:ascii="Times New Roman" w:hAnsi="Times New Roman"/>
          <w:sz w:val="20"/>
        </w:rPr>
        <w:t xml:space="preserve">. Good Cause, as it applies to the determination of the Company to terminate the employment of an Executive, shall mean any one or more of the following: (i) Executives willful and material breach of Executives duties to the Company; (ii) Executives gross negligence in the performance or intentional nonperformance (continuing for 30 days after receipt of written notice of need to cure) of any of Executives material duties and responsibilities; (iii) Executives willful dishonesty, fraud, or misconduct with respect to the business or affairs of the Company, which materially and adversely affects the operations or reputation of the Company; (iv) Executives indictment for, conviction of, or guilty plea to a felony crime involving dishonesty or moral turpitude whether or not relating to the Company; (v) the Executives material breach of any agreement then in effect between the Executive and the Company; or (vi) the Executives material failure to comply with the Companys written policies or rules, which materially and adversely affects the operations or reputation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Good Reason</w:t>
      </w:r>
      <w:r>
        <w:rPr>
          <w:rFonts w:ascii="Times New Roman" w:hAnsi="Times New Roman"/>
          <w:sz w:val="20"/>
        </w:rPr>
        <w:t xml:space="preserve">. The Executive may terminate employment at any time for any reason, including but not limited to, Good Reason. For purposes of this CoC Severance Policy, Good Reason shall mean that the Executive has completed all steps of the Good Reason Process (hereinafter defined) following the occurrence of any of the following events without the Executives consent (each, a Good Reason Condition): (i) Executive is demoted by means of a material reduction in authority, responsibilities, or duties or Executive is required to render Executives primary employment services from a Company location that is more than 50 miles from the Company location from which Executive provides employment services to the Company at the time Executive becomes an Executive other than as has been previously contemplated by the Company and Executive; (ii) Executives annual base salary for a fiscal year is reduced to a level that is less than 90% of the base salary paid to Executive during the prior fiscal year; or (iii) Executives Targeted Bonus is reduced to a level that is less than ninety percent (90%) of the Targeted Bonus for Executive during the prior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Good Reason Process</w:t>
      </w:r>
      <w:r>
        <w:rPr>
          <w:rFonts w:ascii="Times New Roman" w:hAnsi="Times New Roman"/>
          <w:sz w:val="20"/>
        </w:rPr>
        <w:t xml:space="preserve">. The Good Reason Process consists of the following steps: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of not less than 30 days following such notice (the Cure Period), to remedy the Good Reason Condition; (iv) notwithstanding such efforts, the Good Reason Condition continues to exist at the end of the Cure Period; and (v) the Executive terminates employment within 60 days after the end of the Cure Period. If the Company cures the Good Reason Condition during the Cure Period, Good Reason shall be deemed not to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Initial Public Offering</w:t>
      </w:r>
      <w:r>
        <w:rPr>
          <w:rFonts w:ascii="Times New Roman" w:hAnsi="Times New Roman"/>
          <w:sz w:val="20"/>
        </w:rPr>
        <w:t xml:space="preserve">. Initial Public Offering means (i) the consummation of the first firm commitment underwritten public offering pursuant to an effective registration statement under the Securities Act covering the offer and sale by the Company of its equity securities or (ii) the direct listing or direct placement of the Companys equity securities in a publicly traded exchange, in either case, as a result of or following which the Stock will be publicly held.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Targeted Bonus</w:t>
      </w:r>
      <w:r>
        <w:rPr>
          <w:rFonts w:ascii="Times New Roman" w:hAnsi="Times New Roman"/>
          <w:sz w:val="20"/>
        </w:rPr>
        <w:t xml:space="preserve">. Targeted Bonus shall mean, for each fiscal year of the Company, either (i) a bonus program in which Executive shall be entitled to participate, which provides Executive with a reasonable opportunity, based on the past compensation practices of the Company and Executives then base salary, to maintain or increase Executives total compensation compared to the previous fiscal year or (ii) a targeted bonus based on such factors as the Administrator may determine.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Termination; Rights on Termination</w:t>
      </w:r>
      <w:r>
        <w:rPr>
          <w:rFonts w:ascii="Times New Roman" w:hAnsi="Times New Roman"/>
          <w:sz w:val="20"/>
        </w:rPr>
        <w:t xml:space="preserve">. Executives employment under this CoC Severance Policy may be terminated in any one of the followings ways: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Death of Executive</w:t>
      </w:r>
      <w:r>
        <w:rPr>
          <w:rFonts w:ascii="Times New Roman" w:hAnsi="Times New Roman"/>
          <w:sz w:val="20"/>
        </w:rPr>
        <w:t xml:space="preserve">. The employment of Executive shall terminate during the Change of Control Period immediately upon Executives death. In the event Executives employment is terminated as a result of Executives death, Executive shall have no right under this CoC Severance Policy to any severance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Disability of Executive</w:t>
      </w:r>
      <w:r>
        <w:rPr>
          <w:rFonts w:ascii="Times New Roman" w:hAnsi="Times New Roman"/>
          <w:sz w:val="20"/>
        </w:rPr>
        <w:t xml:space="preserve">. If, during the Change of Control Period, as a result of incapacity due to physical or mental illness or injury, Executive shall have been absent from Executives full-time duties hereunder for six (6) consecutive months, then thirty (30) days after giving written notice to Executive (which notice may occur before or after the end of such six (6) month period, but which shall not be effective earlier than the last day of such six (6) month period), the Company may terminate Executives employment provided Executive is unable to resume Executives full-time duties at the conclusion of such notice period. In the event Executives employment is terminated as a result of Executives disability, Executive shall have no right under this CoC Severance Policy to any severance compensation.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Termination by the Company for Good Cause</w:t>
      </w:r>
      <w:r>
        <w:rPr>
          <w:rFonts w:ascii="Times New Roman" w:hAnsi="Times New Roman"/>
          <w:sz w:val="20"/>
        </w:rPr>
        <w:t xml:space="preserve">. The Company may terminate Executives employment during the Change of Control Period upon ten (10) days prior written notice to Executive for Good Cause. In the event of a termination by the Company for Good Cause, Executive shall have no right under this CoC Severance Policy to any severance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by the Company Without Good Cause or by Executive with Good Reason</w:t>
      </w:r>
      <w:r>
        <w:rPr>
          <w:rFonts w:ascii="Times New Roman" w:hAnsi="Times New Roman"/>
          <w:sz w:val="20"/>
        </w:rPr>
        <w:t xml:space="preserve">. The Company may terminate Executives employment without Good Cause during the Change of Control Period. Executive may terminate Executives employment with Good Reason during the Change of Control Period in accordance with the Good Reason Process. In the event Executives employment with the Company is terminated for any reason, the Company shall pay or provide to Executive any earned but unpaid salary, unpaid expense reimbursements in accordance with Company policy, accrued but unused vacation or leave entitlement, and any vested benefits Executive may have under any employee benefit plan of the Company in accordance with the terms and conditions of such employee benefit plan (collectively, the Accrued Benefits), within the time required by law but in no event more than sixty (60) days after the date of termination. Should the Company terminate Executives employment without Good Cause during the Change of Control Period or should Executive terminate Executives employment with Good Reason during the Change of Control Period in accordance with the Good Reason Process, subject to Section 7 below, the Company shall pay to Executive, in addition to the Accrued Benefits, (i) a lump-sum payment equal to six (6) months of Executives base salary in effect on the termination date, (ii) a lump-sum payment equal to fifty percent (50%) of Executives Targeted Bonus, and (iii) a lump-sum payment equal to Executives Targeted Bonus, pro-rated for the number of months employed during the fiscal year prior to the termination date, in each case (i)  (iii) for the fiscal year during which termination occurs (the Severance). The Severance shall be paid out within sixty (60) days of termination, subject to applicable taxes and withholdings; provided, however, that if the 60-day period begins in one calendar year and ends in a second calendar year, such payments, to the extent they qualify as non-qualified deferred compensation within the meaning of Section 409A of the Code, shall be paid in the second calendar year by the last day of such 60-day period. Further, if during the Change of Control Period the Company terminates Executives employment without Good Cause or Executive terminates Executives employment with Good Reason, subject to the Executives proper election to receive benefits under COBRA, the Company shall pay to the group health plan provider or the Consolidated Omnibus Budget Reconciliation Act of 1985, as amended (COBRA) provider a monthly payment equal to the total premium contribution that the Company would have made to provide health insurance to the Executive if the Executive had remained employed by the Company until the earliest of (A) the six month anniversary of the date of termination; (B) the date that the Executive becomes eligible for group medical plan benefits under any other employers group medical plan; or (C) the cessation of the Executives health continuation rights under; provided, that if the Company determines that it cannot pay such amounts to the group health plan provider or the COBRA provider (if applicable) without potentially violating applicable law (including, without limitation, Section 2716 of the Public Health Service Act), then the Company shall make a taxable monthly payment to the Executive in lieu of directly paying the COBRA provider, as applicable, for six (6) months following the Participants employment termination, which such payments shall be subject to tax-related deductions and withholdings and paid on the Companys regular payroll dates; provided, further that the Company may provide for such lump sum payment in the Administrators discretion. If Executive is not employed in the United States, the health coverage benefit in the preceding sentence will be a regional equivalent to COBRA determined by the Company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Resignation by Executive Without Good Reason</w:t>
      </w:r>
      <w:r>
        <w:rPr>
          <w:rFonts w:ascii="Times New Roman" w:hAnsi="Times New Roman"/>
          <w:sz w:val="20"/>
        </w:rPr>
        <w:t xml:space="preserve">. Executive may without Good Reason terminate Executives own employment during the Change of Control Period, effective thirty (30) days after written notice is provided to the Company or such earlier time as any such resignation may be accepted by the Company. If Executive resigns or otherwise terminates Executives employment without Good Reason, Executive shall receive no severance compensation under this CoC Severance Policy.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Effect on Equity Incentives</w:t>
      </w:r>
      <w:r>
        <w:rPr>
          <w:rFonts w:ascii="Times New Roman" w:hAnsi="Times New Roman"/>
          <w:sz w:val="20"/>
        </w:rPr>
        <w:t xml:space="preserve">. To the extent that the parties to a Change of Control do not provide for the assumption, continuation or substitution of the Companys equity incentives, upon the Executives continued employment to the Company through immediately prior to the Effective Date, all equity incentives with time-based vesting conditions that are not vested and/or exercisable immediately prior to the effective time of the Change of Control shall become fully vested and exercisable as of the effective time of the Change of Control. Notwithstanding the foregoing, in the event Executive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terminated during the Change of Control Period by the Company without Good Cause or by Executive with Good Reason, (i) fifty percent (50%) of all then unvested equity incentives as of the Executives date of termination, if Executive has been continuously employed by the Company for fewer than twenty-four (24) months on the date of termination, or (ii) one hundred percent (100%) of all unvested equity incentives as of the Executives date of termination, if Executive has been continuously employed by the Company for twenty-four (24) months or greater on the date of termination, held by Executive shall vest as of the Acceleration Date. Acceleration Date shall mean the later of (A) the Executives date of termination, (B) the Release Effective Date, or (C) the consummation of the Change of Control. In addition, any vested stock options (including those vested as a result of this paragraph 4(f)) held by Executive shall be exercisable for ninety (90) days after the termination of Executives employment, but not beyond their original term. This paragraph 4(f) shall not apply to market-based equity incentives that vest based on the achievement of certain goals, including, without limitation, a specified share price or level of total stockholder return compared with a predetermined stock index over a performance period, which amount that will vest will be calculated as if the measurement period ended on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Certain Reduction of Payment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Potential Section</w:t>
      </w:r>
      <w:r>
        <w:rPr>
          <w:rFonts w:ascii="Times New Roman" w:hAnsi="Times New Roman"/>
          <w:sz w:val="20"/>
        </w:rPr>
        <w:t> </w:t>
      </w:r>
      <w:r>
        <w:rPr>
          <w:rFonts w:ascii="Times New Roman" w:hAnsi="Times New Roman"/>
          <w:b/>
          <w:sz w:val="20"/>
        </w:rPr>
        <w:t>280G Reductions Following an Initial Public Offering</w:t>
      </w:r>
      <w:r>
        <w:rPr>
          <w:rFonts w:ascii="Times New Roman" w:hAnsi="Times New Roman"/>
          <w:sz w:val="20"/>
        </w:rPr>
        <w:t xml:space="preserve">. Notwithstanding anything in this CoC Severance Policy to the contrary, in the event that it shall be determined that any payment, distribution, or other action by the Company to or for the benefit of Executive (whether paid or payable or distributed or distributable pursuant to the terms of this CoC Severance Policy or otherwise (a Payment)) would result in an excess parachute payment within the meaning of Section 280G(b)(i) of the Internal Revenue Code of 1986, as amended (the Code), and the value determined in accordance with Section 280G(d)(4) of the Code of the Payments, net of all taxes imposed on Executive (the Net After-Tax Amount), that Executive would receive would be increased if the Payments were reduced, then the Payments shall be reduced by an amount (the Reduction Amount) so that the Net After-Tax Amount after such reduction is greatest. For purposes of determining the Net After-Tax Amount, Executive shall be deemed to (i) pay federal income taxes at the highest marginal rates of federal income taxation for the calendar year in which the Payment is to be made, and (ii) pay applicable state and local income taxes at the highest marginal rate of taxation for the calendar year in which the Payment is to be made, net of the maximum reduction in federal income taxes which could be obtained from deduction of such state and local taxes. This Section 6(a) and Section 6(b), below, shall only apply in the event of a Change of Control following an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Determinations</w:t>
      </w:r>
      <w:r>
        <w:rPr>
          <w:rFonts w:ascii="Times New Roman" w:hAnsi="Times New Roman"/>
          <w:sz w:val="20"/>
        </w:rPr>
        <w:t xml:space="preserve">. Subject to the provisions of this paragraph 5(b), all determinations required to be made under this paragraph 5, including the Net After-Tax Amount, the Reduction Amount, and the Payment that is to be reduced pursuant to paragraph 5(a), and the assumptions to be utilized in arriving at such determinations, shall be made by the Companys independent registered public accounting firm (the Accounting Firm), which shall provide detailed supporting calculations both to the Company and Executive within fifteen (15) business days of the receipt of notice from Executive that there has been a Payment, or such earlier time as is requested by the Company. The Accounting Firms decision as to which Payments are to be reduced shall be made (i) only from Payments that the Accounting Firm determines reasonably may be characterized as parachute payments under Section 280G of the Code; (ii) first, only from Payments that are required to be made in cash; (iii) 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(e.g., in installments). In no event, however, shall any Payments be reduced if and to the extent such reduction would cause a violation of Section 409A of the Code or other applicable law. All fees and expenses of the Accounting Firm shall be borne solely by the Company. Any determination by the Accounting Firm shall be binding upon the Company and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Potential Section</w:t>
      </w:r>
      <w:r>
        <w:rPr>
          <w:rFonts w:ascii="Times New Roman" w:hAnsi="Times New Roman"/>
          <w:sz w:val="20"/>
        </w:rPr>
        <w:t> </w:t>
      </w:r>
      <w:r>
        <w:rPr>
          <w:rFonts w:ascii="Times New Roman" w:hAnsi="Times New Roman"/>
          <w:b/>
          <w:sz w:val="20"/>
        </w:rPr>
        <w:t>280G Reductions Prior to an Initial Public Offering</w:t>
      </w:r>
      <w:r>
        <w:rPr>
          <w:rFonts w:ascii="Times New Roman" w:hAnsi="Times New Roman"/>
          <w:sz w:val="20"/>
        </w:rPr>
        <w:t xml:space="preserve">. Notwithstanding anything in this CoC Severance Policy to the contrary, in the event that a Payment would result in an excess parachute payment within the meaning of Section 280G(b)(i) of the Code, then the Payments shall be reduced by an amount so no such Payments would result in excess parachute payments. The determination as to which Payments are to be reduced shall be made (i) only from Payments that the Company determines reasonably may be characterized as parachute payments under Section 280G of the Code; (ii) first, only from Payments that are required to be made in cash; (iii) only with respect to any amounts that are not payable pursuant to a nonqualified deferred compensation plan subject to Section 409A of the Code, until those payments have been reduced to zero; and (iv) in reverse chronological order, to the extent that any Payments subject to reduction are made over time (e.g., in installments). In no event, however, shall any Payments be reduced if and to the extent such reduction would cause a violation of Section 409A of the Code or other applicable law. This Section 6(c) shall only apply in the event of a Change of Control prior to an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Release of Claims</w:t>
      </w:r>
      <w:r>
        <w:rPr>
          <w:rFonts w:ascii="Times New Roman" w:hAnsi="Times New Roman"/>
          <w:sz w:val="20"/>
        </w:rPr>
        <w:t xml:space="preserve">. The Companys obligations under Section 5 are contingent upon Executives executing (and not revoking during any applicable revocation period) a valid, enforceable, full and unconditional release of all claims Executive may have against the Company (whether known or unknown) as of the date of termination in such form as provided by the Company no later than sixty (60) days after the date of termination. If the foregoing release is executed and delivered and no longer subject to revocation within 60 days after the date of termination, then the following shall apply: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any payments due to Executive under Section 5 are not deferred compensation for purposes of Section 409A of the Internal Revenue Code of 1986, as amended, then such payments shall commence upon the first scheduled payment date immediately after the date the release is executed and no longer subject to revocation (the Release Effective Date), provided, that, if the period within which the Executive must execute the release straddles two calendar years, all payments shall commence in the second calendar year. The first such cash payment shall include payment of all amounts that otherwise would have been due prior to the Release Effective Date under the terms of this CoC Severance Policy had such payments commenced after the date of Employment Termination, and any payments to be made thereafter shall continue as provided herein. The delayed payments shall in any event expire at the time such payments would have expired had such payments commenced after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any payments due to Executive under Section 5 above are deferred compensation for purposes of Section 409A, then such payments shall commence upon the sixtieth (60th) day following the date of termination. The first such cash payment shall include payment of all amounts that otherwise would have been due prior thereto under the terms of this CoC Severance Policy had such payments commenced after the date of termination, and any payments to be made thereafter shall continue as provided herein. The delayed payments shall in any event expire at the time such payments would have expired had such payments commenced immediately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Other Requirements</w:t>
      </w:r>
      <w:r>
        <w:rPr>
          <w:rFonts w:ascii="Times New Roman" w:hAnsi="Times New Roman"/>
          <w:sz w:val="20"/>
        </w:rPr>
        <w:t xml:space="preserve">. The Companys obligations under Section 5 are further contingent upon: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Resignation from Directorships</w:t>
      </w:r>
      <w:r>
        <w:rPr>
          <w:rFonts w:ascii="Times New Roman" w:hAnsi="Times New Roman"/>
          <w:sz w:val="20"/>
        </w:rPr>
        <w:t xml:space="preserve">. Executives written voluntary resignation, concurrent with or prior to the execution and delivery to the Company of the release of claims referenced in Section 6 above, from all directorships held by Executive at the Company and its subsidiaries and affiliates.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Compliance with Existing Agreements</w:t>
      </w:r>
      <w:r>
        <w:rPr>
          <w:rFonts w:ascii="Times New Roman" w:hAnsi="Times New Roman"/>
          <w:sz w:val="20"/>
        </w:rPr>
        <w:t xml:space="preserve">. Executive continuing to comply the terms of any confidentiality, proprietary information and inventions agreement and any other agreement between the Executive and the Company under which the Participant has a material duty or obligation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Section</w:t>
      </w:r>
      <w:r>
        <w:rPr>
          <w:rFonts w:ascii="Times New Roman" w:hAnsi="Times New Roman"/>
          <w:sz w:val="20"/>
        </w:rPr>
        <w:t> </w:t>
      </w:r>
      <w:r>
        <w:rPr>
          <w:rFonts w:ascii="Times New Roman" w:hAnsi="Times New Roman"/>
          <w:b/>
          <w:sz w:val="20"/>
        </w:rPr>
        <w:t>409A</w:t>
      </w:r>
      <w:r>
        <w:rPr>
          <w:rFonts w:ascii="Times New Roman" w:hAnsi="Times New Roman"/>
          <w:sz w:val="20"/>
        </w:rPr>
        <w:t xml:space="preserve">. Notwithstanding any provisions in this CoC Severance Policy to the contrary, if at the time of the termination the Executive is a specified employee as defined in Section 409A and the deferral of the commencement of any payments or benefits otherwise payable as a result of such termination is necessary to avoid the additional tax under Section 409A, the Company will defer the payment or commencement of the payment of any such payments or benefits (without any reduction in such payments or benefits ultimately paid or provided to Executive) until the date that is six months following the termination. Any monthly payment amounts deferred will be accumulated and paid to Executive (without interest) six months after the date of termination in a lump sum, and the balance of payments due to Executive will be paid as otherwise provided in this CoC Severance Policy. Each payment described in this CoC Severance Policy is designated as a separate payment for purposes of Section 409A and, subject to the six-month delay, if applicable, and Section 6, the first monthly payment shall commence on the payroll date as in effect on termination following the termination. For purposes of this CoC Severance Policy, a termination of employment means a separation from service as defined in Section 409A. No reimbursement payable to Executive pursuant to any provisions of this CoC Severance Policy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This CoC Severance Policy will be interpreted, administered, and operated in accordance with Section 409A or an applicable exemption thereof, although nothing herein will be construed as an entitlement to or guarantee of any particular tax treatment to Executive.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Tax Withholding</w:t>
      </w:r>
      <w:r>
        <w:rPr>
          <w:rFonts w:ascii="Times New Roman" w:hAnsi="Times New Roman"/>
          <w:sz w:val="20"/>
        </w:rPr>
        <w:t xml:space="preserve">. All payments made by the Company (including any successor) under this CoC Severance Policy shall be subject to any tax or other amounts required to be withheld by the Company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Term</w:t>
      </w:r>
      <w:r>
        <w:rPr>
          <w:rFonts w:ascii="Times New Roman" w:hAnsi="Times New Roman"/>
          <w:sz w:val="20"/>
        </w:rPr>
        <w:t xml:space="preserve">. This CoC Severance Policy will be effective as of August 9, 2023. The Board or Committee, as the case may be, will review the CoC Severance Policy and resolve to continue with, modify, or terminate the CoC Severance Policy. If the Board or the Committee fails to take action regarding the CoC Severance Policy, the CoC Severance Policy will remain in effect in accordance with its then-current terms until such time as the Board or Committee takes action.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Governing Law and Venue</w:t>
      </w:r>
      <w:r>
        <w:rPr>
          <w:rFonts w:ascii="Times New Roman" w:hAnsi="Times New Roman"/>
          <w:sz w:val="20"/>
        </w:rPr>
        <w:t xml:space="preserve">. This CoC Severance Policy shall be construed and enforced pursuant to the laws of the State of California. Any disputes arising out of or relating to this CoC Severance Policy shall be brought in the state or federal courts located in Santa Clara County, California.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Notice</w:t>
      </w:r>
      <w:r>
        <w:rPr>
          <w:rFonts w:ascii="Times New Roman" w:hAnsi="Times New Roman"/>
          <w:sz w:val="20"/>
        </w:rPr>
        <w:t xml:space="preserve">. Notices and all other communications contemplated by this CoC Severance Policy shall be in writing and shall be deemed to have been duly given upon (i) personal delivery, (ii) three (3) days after mailing if sent by certified mail, postage prepaid, (iii) one (1) day after having been sent by either commercial overnight courier with verification of receipt; or (iv) electronic transmission (i.e., email) upon confirmation of receipt. In the case of Executive, mailed notices shall be addressed to him or her or them at the home address which he or she or they most recently communicated to the Company in writing. In the case of the Company, mailed notices shall be addressed to its corporate headquarters, and all notices shall be directed to the attention of its Secretary.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Clawback Policy</w:t>
      </w:r>
      <w:r>
        <w:rPr>
          <w:rFonts w:ascii="Times New Roman" w:hAnsi="Times New Roman"/>
          <w:sz w:val="20"/>
        </w:rPr>
        <w:t xml:space="preserve">. Payments or benefits under the CoC Severance Policy shall be subject to the Companys clawback or compensation recovery policy,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47" w:name="d285484dex106.htm"/>
      <w:bookmarkStart w:id="48" w:name="ksd285484dex106"/>
      <w:bookmarkEnd w:id="47"/>
      <w:bookmarkEnd w:id="48"/>
      <w:r>
        <w:rPr>
          <w:rFonts w:ascii="Times New Roman" w:hAnsi="Times New Roman"/>
          <w:b/>
          <w:sz w:val="20"/>
        </w:rPr>
        <w:t xml:space="preserve">Exhibit 10.6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Non-Employee Director Compensation Policy (the Policy) of Astera Labs, Inc. (the Company) is to provide a total compensation package that enables the Company to attract and retain, on a long-term basis, high-caliber directors who are not employees or officers of the Company or its subsidiaries (Non-Employee Directors). This Policy will become effective as of the effective time of the registration statement for the Companys initial public offering of its equity securities (the Effective Date). In furtherance of the purpose stated above, all Non-Employee Directors shall be paid compensation for services provided to the Company as Non-Employee Directors as set forth below: </w:t>
      </w:r>
    </w:p>
    <w:p>
      <w:pPr>
        <w:pStyle w:val="TextBody"/>
        <w:bidi w:val="0"/>
        <w:spacing w:before="360" w:after="0"/>
        <w:jc w:val="left"/>
        <w:rPr>
          <w:rFonts w:ascii="Times New Roman" w:hAnsi="Times New Roman"/>
          <w:b/>
          <w:sz w:val="20"/>
        </w:rPr>
      </w:pPr>
      <w:r>
        <w:rPr>
          <w:rFonts w:ascii="Times New Roman" w:hAnsi="Times New Roman"/>
          <w:b/>
          <w:sz w:val="20"/>
          <w:u w:val="single"/>
        </w:rPr>
        <w:t>Cash Retainers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Annual Retainer for Board Membership</w:t>
      </w:r>
      <w:r>
        <w:rPr>
          <w:rFonts w:ascii="Times New Roman" w:hAnsi="Times New Roman"/>
          <w:sz w:val="20"/>
        </w:rPr>
        <w:t xml:space="preserve">: $60,000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5"/>
        <w:gridCol w:w="353"/>
        <w:gridCol w:w="140"/>
        <w:gridCol w:w="689"/>
        <w:gridCol w:w="62"/>
      </w:tblGrid>
      <w:tr>
        <w:trPr/>
        <w:tc>
          <w:tcPr>
            <w:tcW w:w="5695"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u w:val="single"/>
              </w:rPr>
              <w:t>Additional Annual Retainer for Non-Executive Chair</w:t>
            </w:r>
            <w:r>
              <w:rPr>
                <w:rFonts w:ascii="Times New Roman" w:hAnsi="Times New Roman"/>
                <w:sz w:val="20"/>
              </w:rPr>
              <w:t>:</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70,000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Additional Annual Retainers for Committee Membership</w:t>
            </w:r>
            <w:r>
              <w:rPr>
                <w:rFonts w:ascii="Times New Roman" w:hAnsi="Times New Roman"/>
                <w:sz w:val="20"/>
              </w:rPr>
              <w:t>:</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Committee Chair:</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25,000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 member:</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12,500</w:t>
            </w:r>
          </w:p>
        </w:tc>
        <w:tc>
          <w:tcPr>
            <w:tcW w:w="62" w:type="dxa"/>
            <w:tcBorders/>
            <w:vAlign w:val="bottom"/>
          </w:tcPr>
          <w:p>
            <w:pPr>
              <w:pStyle w:val="TableContents"/>
              <w:bidi w:val="0"/>
              <w:spacing w:before="0" w:after="283"/>
              <w:jc w:val="left"/>
              <w:rPr/>
            </w:pPr>
            <w:r>
              <w:rPr/>
              <w:t>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Committee Chair:</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20,000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Committee member:</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10,000</w:t>
            </w:r>
          </w:p>
        </w:tc>
        <w:tc>
          <w:tcPr>
            <w:tcW w:w="62" w:type="dxa"/>
            <w:tcBorders/>
            <w:vAlign w:val="bottom"/>
          </w:tcPr>
          <w:p>
            <w:pPr>
              <w:pStyle w:val="TableContents"/>
              <w:bidi w:val="0"/>
              <w:spacing w:before="0" w:after="283"/>
              <w:jc w:val="left"/>
              <w:rPr/>
            </w:pPr>
            <w:r>
              <w:rPr/>
              <w:t>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Chair:</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10,000</w:t>
            </w:r>
          </w:p>
        </w:tc>
        <w:tc>
          <w:tcPr>
            <w:tcW w:w="62" w:type="dxa"/>
            <w:tcBorders/>
            <w:shd w:fill="CCEEFF" w:val="clear"/>
            <w:vAlign w:val="bottom"/>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 Committee member:</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5,000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Chair and committee member retainers are in addition to retainers for members of the Board of Directors. No additional compensation will be paid for attending individual committee meetings of the Board of Directors. </w:t>
      </w:r>
    </w:p>
    <w:p>
      <w:pPr>
        <w:pStyle w:val="TextBody"/>
        <w:bidi w:val="0"/>
        <w:spacing w:before="360" w:after="0"/>
        <w:jc w:val="left"/>
        <w:rPr>
          <w:rFonts w:ascii="Times New Roman" w:hAnsi="Times New Roman"/>
          <w:b/>
          <w:sz w:val="20"/>
        </w:rPr>
      </w:pPr>
      <w:r>
        <w:rPr>
          <w:rFonts w:ascii="Times New Roman" w:hAnsi="Times New Roman"/>
          <w:b/>
          <w:sz w:val="20"/>
          <w:u w:val="single"/>
        </w:rPr>
        <w:t>Equity Retainers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grants of equity retainer awards to Non-Employee Directors pursuant to this Policy will be approved by the Compensation Committee of the Board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u w:val="single"/>
        </w:rPr>
        <w:t>Initial Award</w:t>
      </w:r>
      <w:r>
        <w:rPr>
          <w:rFonts w:ascii="Times New Roman" w:hAnsi="Times New Roman"/>
          <w:sz w:val="20"/>
        </w:rPr>
        <w:t xml:space="preserve">: Upon his or her initial election to the Board of Directors, each Non-Employee Director will receive an initial, one-time restricted stock unit award (the Initial Award) with a Value (as defined below) of $330,000, which shall vest in equal annual installments over three years from the date of grant, provided, however, that all vesting shall cease if the director ceases to provide services to the Company, unless the Board of Directors determines that the circumstances warrant continuation of vesting. This Initial Award applies only to Non-Employee Directors who are first elected to the Board of Directors subsequent to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Annual Award</w:t>
      </w:r>
      <w:r>
        <w:rPr>
          <w:rFonts w:ascii="Times New Roman" w:hAnsi="Times New Roman"/>
          <w:sz w:val="20"/>
        </w:rPr>
        <w:t xml:space="preserve">: On each date of each Annual Meeting of Stockholders of the Company following the Effective Date (the Annual Meeting), each continuing Non-Employee Director, other than a director receiving an Initial Award, will receive an annual restricted stock unit award (the Annual Award) with a Value of $200,000, which shall vest in full upon the earlier of (i) the first anniversary of the date of grant or (ii) the date of the next Annual Meeting; provided, however, that all vesting shall cease if the director ceases to provide services to the Company, unless the Board of Directors determines that the circumstances warrant continuation of vesting. </w:t>
      </w:r>
    </w:p>
    <w:p>
      <w:pPr>
        <w:pStyle w:val="TextBody"/>
        <w:bidi w:val="0"/>
        <w:spacing w:before="120" w:after="0"/>
        <w:jc w:val="left"/>
        <w:rPr>
          <w:rFonts w:ascii="Times New Roman" w:hAnsi="Times New Roman"/>
          <w:sz w:val="20"/>
        </w:rPr>
      </w:pPr>
      <w:r>
        <w:rPr>
          <w:rFonts w:ascii="Times New Roman" w:hAnsi="Times New Roman"/>
          <w:sz w:val="20"/>
          <w:u w:val="single"/>
        </w:rPr>
        <w:t>Value</w:t>
      </w:r>
      <w:r>
        <w:rPr>
          <w:rFonts w:ascii="Times New Roman" w:hAnsi="Times New Roman"/>
          <w:sz w:val="20"/>
        </w:rPr>
        <w:t xml:space="preserve">: For purposes of this Policy, Value means with respect to (i) any stock option award, the grant date fair value of the option (i.e., Black-Scholes Value) determined in accordance with the reasonable assumptions and methodologies employed by the Company for calculating the fair value of options under Financial Accounting Standard Board (FASB) Accounting Standards Codification (ASC) Topic 718; and (ii) any award of restricted stock or restricted stock units the product of (A) either, (1) for Initial Awards, the average closing market price on the Nasdaq Global Market (or such other market on which the Companys common stock is then principally listed) of one share of the Companys common stock over the calendar month period immediately preceding the month of the commencement of the directors service with the Company, or (2) for Annual Awards, the average closing market price on the Nasdaq Global Market (or such other market on which the Companys common stock is then principally listed) of one share of the Companys common stock during the calendar month period immediately preceding the month of the grant date and (B) the aggregate number of shares of common stock underlying such award. </w:t>
      </w:r>
    </w:p>
    <w:p>
      <w:pPr>
        <w:pStyle w:val="TextBody"/>
        <w:bidi w:val="0"/>
        <w:spacing w:before="240" w:after="0"/>
        <w:jc w:val="left"/>
        <w:rPr>
          <w:rFonts w:ascii="Times New Roman" w:hAnsi="Times New Roman"/>
          <w:sz w:val="20"/>
        </w:rPr>
      </w:pPr>
      <w:r>
        <w:rPr>
          <w:rFonts w:ascii="Times New Roman" w:hAnsi="Times New Roman"/>
          <w:sz w:val="20"/>
          <w:u w:val="single"/>
        </w:rPr>
        <w:t>Sale Event Acceleration</w:t>
      </w:r>
      <w:r>
        <w:rPr>
          <w:rFonts w:ascii="Times New Roman" w:hAnsi="Times New Roman"/>
          <w:sz w:val="20"/>
        </w:rPr>
        <w:t xml:space="preserve">: All outstanding Initial Awards and Annual Awards held by an Non-Employee Director shall become fully vested and nonforfeitable upon a Sale Event (as defined in the Companys 2024 Stock Option and Incentive Plan). </w:t>
      </w:r>
    </w:p>
    <w:p>
      <w:pPr>
        <w:pStyle w:val="TextBody"/>
        <w:bidi w:val="0"/>
        <w:spacing w:before="360" w:after="0"/>
        <w:jc w:val="left"/>
        <w:rPr>
          <w:rFonts w:ascii="Times New Roman" w:hAnsi="Times New Roman"/>
          <w:b/>
          <w:sz w:val="20"/>
        </w:rPr>
      </w:pPr>
      <w:r>
        <w:rPr>
          <w:rFonts w:ascii="Times New Roman" w:hAnsi="Times New Roman"/>
          <w:b/>
          <w:sz w:val="20"/>
          <w:u w:val="single"/>
        </w:rPr>
        <w:t>Expenses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reimburse all reasonable out-of-pocket expenses incurred by Non-Employee Directors in attending meetings of the Board of Directors or any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Maximum Annual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aggregate amount of compensation, including both equity compensation and cash compensation, paid by the Company to any Non-Employee Director in a calendar year for services as an Non-Employee Director shall not exceed $750,000; provided, however, that such amount shall be $1,000,000 for the calendar year in which the applicable Non-Employee Director is initially elected or appointed to the Board of Directors; (or such other limits as may be set forth in Section 3(b) of the Companys 2024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Adopted [_________],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9" w:name="d285484dex107.htm"/>
      <w:bookmarkStart w:id="50" w:name="ksd285484dex107"/>
      <w:bookmarkEnd w:id="49"/>
      <w:bookmarkEnd w:id="50"/>
      <w:r>
        <w:rPr>
          <w:rFonts w:ascii="Times New Roman" w:hAnsi="Times New Roman"/>
          <w:b/>
          <w:sz w:val="20"/>
        </w:rPr>
        <w:t xml:space="preserve">Exhibit 10.7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SENIOR EXECUTIVE CASH INCENTIVE BONUS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Purpose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Senior Executive Cash Incentive Bonus Plan (the Incentive Plan) is intended to provide an incentive for superior work and to motivate eligible executives of Astera Labs,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Covered Executives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Compensation Committee of the Board of Directors of the Company (the Compensation Committee) may select certain key executives (the Covered Executives) to be eligible to receive bonuses hereunder. Participation in this Plan does not change the at will nature of a Covered Executives employment with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Administration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shall have the sole discretion and authority to administer and interpret the Incentive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Bonus Determinations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Corporate Performance Goals</w:t>
      </w:r>
      <w:r>
        <w:rPr>
          <w:rFonts w:ascii="Times New Roman" w:hAnsi="Times New Roman"/>
          <w:sz w:val="20"/>
        </w:rPr>
        <w:t xml:space="preserve">. A Covered Executive may receive a bonus payment under the Incentive Plan based upon the attainment of one or more performance objectives that are established by the Compensation Committee in its sole discretion and relate to financial and operational metrics with respect to the Company or any of its subsidiaries (the Corporate Performance Goals), including: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the Companys common stock; bookings, new bookings or renewals; sales or market shares; number of customers, number of new customers or customer references; operating income and/or net annual recurring revenue; 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Calculation of Corporate Performance Goals</w:t>
      </w:r>
      <w:r>
        <w:rPr>
          <w:rFonts w:ascii="Times New Roman" w:hAnsi="Times New Roman"/>
          <w:sz w:val="20"/>
        </w:rPr>
        <w:t xml:space="preserve">.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that is consistently applied with respect to a Corporate Performance Goal in the relevant performance period.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Target; Minimum; Maximum</w:t>
      </w:r>
      <w:r>
        <w:rPr>
          <w:rFonts w:ascii="Times New Roman" w:hAnsi="Times New Roman"/>
          <w:sz w:val="20"/>
        </w:rPr>
        <w:t xml:space="preserve">. Each Corporate Performance Goal shall have a target (100 percent attainment of the Corporate Performance Goal) and may also have a minimum hurdle and/or a maximum amount.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Bonus Requirements; Individual Goals</w:t>
      </w:r>
      <w:r>
        <w:rPr>
          <w:rFonts w:ascii="Times New Roman" w:hAnsi="Times New Roman"/>
          <w:sz w:val="20"/>
        </w:rPr>
        <w:t xml:space="preserve">.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Individual Target Bonuses</w:t>
      </w:r>
      <w:r>
        <w:rPr>
          <w:rFonts w:ascii="Times New Roman" w:hAnsi="Times New Roman"/>
          <w:sz w:val="20"/>
        </w:rPr>
        <w:t xml:space="preserve">.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Employment Requirement</w:t>
      </w:r>
      <w:r>
        <w:rPr>
          <w:rFonts w:ascii="Times New Roman" w:hAnsi="Times New Roman"/>
          <w:sz w:val="20"/>
        </w:rPr>
        <w:t xml:space="preserve">.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Timing of Payment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than 74 days after the end of the fiscal year in which such performance period ends.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and Termination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reserves the right to amend or terminate the Incentive Plan at any time in its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Company Recoupment Rights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Adopted February 16, 2024, subject to effectiveness of the Companys Registration Statement on Form S-1.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51" w:name="d285484dex108.htm"/>
      <w:bookmarkStart w:id="52" w:name="ksd285484dex108"/>
      <w:bookmarkEnd w:id="51"/>
      <w:bookmarkEnd w:id="52"/>
      <w:r>
        <w:rPr>
          <w:rFonts w:ascii="Times New Roman" w:hAnsi="Times New Roman"/>
          <w:b/>
          <w:sz w:val="20"/>
        </w:rPr>
        <w:t xml:space="preserve">Exhibit 10.8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left"/>
        <w:rPr>
          <w:rFonts w:ascii="Times New Roman" w:hAnsi="Times New Roman"/>
          <w:sz w:val="20"/>
        </w:rPr>
      </w:pPr>
      <w:r>
        <w:rPr>
          <w:rFonts w:ascii="Times New Roman" w:hAnsi="Times New Roman"/>
          <w:sz w:val="20"/>
        </w:rPr>
        <w:t xml:space="preserve">March 13, 2018 </w:t>
      </w:r>
    </w:p>
    <w:p>
      <w:pPr>
        <w:pStyle w:val="TextBody"/>
        <w:bidi w:val="0"/>
        <w:spacing w:before="240" w:after="0"/>
        <w:jc w:val="left"/>
        <w:rPr>
          <w:rFonts w:ascii="Times New Roman" w:hAnsi="Times New Roman"/>
          <w:sz w:val="20"/>
        </w:rPr>
      </w:pPr>
      <w:r>
        <w:rPr>
          <w:rFonts w:ascii="Times New Roman" w:hAnsi="Times New Roman"/>
          <w:sz w:val="20"/>
        </w:rPr>
        <w:t xml:space="preserve">Jitendra Mohan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Re:</w:t>
            </w:r>
          </w:p>
        </w:tc>
        <w:tc>
          <w:tcPr>
            <w:tcW w:w="83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Employment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Jitendra, </w:t>
      </w:r>
    </w:p>
    <w:p>
      <w:pPr>
        <w:pStyle w:val="TextBody"/>
        <w:bidi w:val="0"/>
        <w:spacing w:before="120" w:after="0"/>
        <w:jc w:val="left"/>
        <w:rPr>
          <w:rFonts w:ascii="Times New Roman" w:hAnsi="Times New Roman"/>
          <w:sz w:val="20"/>
        </w:rPr>
      </w:pPr>
      <w:r>
        <w:rPr>
          <w:rFonts w:ascii="Times New Roman" w:hAnsi="Times New Roman"/>
          <w:sz w:val="20"/>
        </w:rPr>
        <w:t>This will confirm the terms under which you will be employed by Astera Labs, Inc., a Delaware corporation (the </w:t>
      </w:r>
      <w:r>
        <w:rPr>
          <w:rFonts w:ascii="Times New Roman" w:hAnsi="Times New Roman"/>
          <w:b/>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Position and Duties</w:t>
      </w:r>
      <w:r>
        <w:rPr>
          <w:rFonts w:ascii="Times New Roman" w:hAnsi="Times New Roman"/>
          <w:sz w:val="20"/>
        </w:rPr>
        <w:t xml:space="preserve">. You have served as Chief Executive Officer, Chief Technology Officer, and President of the Company since its formation and shall continue to serve in such position. You will perform such duties as are ordinary, customary, and necessary in such role. You shall devote your full business time, skill and attention to the performance of your duties on behalf of the Company. You will devote your efforts to the interests of the Company as set forth in the preceding sentence and will not engage in other employment or in any activities detrimental to the interests of the Company without the prior written consent of the Company. Although your duties may include occasional travel on behalf of the Company, your primary duties will be performed at the Companys headquarters.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Proof of Right to Work; Assignment Agreement</w:t>
      </w:r>
      <w:r>
        <w:rPr>
          <w:rFonts w:ascii="Times New Roman" w:hAnsi="Times New Roman"/>
          <w:sz w:val="20"/>
        </w:rPr>
        <w:t>. If you have not already done so, you will be required to prove your eligibility for employment under the Immigration and Reform Control Act of 1986. You will be required to sign and comply with the Companys standard employee confidential information and invention assignment agreement (</w:t>
      </w:r>
      <w:r>
        <w:rPr>
          <w:rFonts w:ascii="Times New Roman" w:hAnsi="Times New Roman"/>
          <w:b/>
          <w:sz w:val="20"/>
          <w:u w:val="single"/>
        </w:rPr>
        <w:t>CIIA</w:t>
      </w:r>
      <w:r>
        <w:rPr>
          <w:rFonts w:ascii="Times New Roman" w:hAnsi="Times New Roman"/>
          <w:sz w:val="20"/>
        </w:rPr>
        <w:t xml:space="preserve">), a copy of which is attached hereto as </w:t>
      </w:r>
      <w:r>
        <w:rPr>
          <w:rFonts w:ascii="Times New Roman" w:hAnsi="Times New Roman"/>
          <w:sz w:val="20"/>
          <w:u w:val="single"/>
        </w:rPr>
        <w:t>Exhibit A</w:t>
      </w:r>
      <w:r>
        <w:rPr>
          <w:rFonts w:ascii="Times New Roman" w:hAnsi="Times New Roman"/>
          <w:sz w:val="20"/>
        </w:rPr>
        <w:t xml:space="preserve"> concurrently with your execution of this Agreement. The CIAA requires, among other provisions, the assignment to the Company of proprietary rights to any invention made during your employment at the Company and non-disclosure of confidential information.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Compensation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Salary</w:t>
      </w:r>
      <w:r>
        <w:rPr>
          <w:rFonts w:ascii="Times New Roman" w:hAnsi="Times New Roman"/>
          <w:sz w:val="20"/>
        </w:rPr>
        <w:t xml:space="preserve">. The Company agrees to pay you an annual salary of $160,000 payable as earned in accordance with the Companys customary payroll practices (but no less than monthly). You will begin receiving this salary on the date the Companys initial sale of its Series A Preferred Stock. Your salary shall be reviewed by the Company for possible increases annually.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b/>
          <w:sz w:val="20"/>
          <w:u w:val="single"/>
        </w:rPr>
        <w:t>Restricted Stock Grant</w:t>
      </w:r>
      <w:r>
        <w:rPr>
          <w:rFonts w:ascii="Times New Roman" w:hAnsi="Times New Roman"/>
          <w:b/>
          <w:sz w:val="20"/>
        </w:rPr>
        <w:t>.</w:t>
      </w:r>
      <w:r>
        <w:rPr>
          <w:rFonts w:ascii="Times New Roman" w:hAnsi="Times New Roman"/>
          <w:sz w:val="20"/>
        </w:rPr>
        <w:t xml:space="preserve"> You accept and acknowledge that the Company has issued 3,800,000 shares of the Companys Common Stock, par value $0.0001 (the </w:t>
      </w:r>
      <w:r>
        <w:rPr>
          <w:rFonts w:ascii="Times New Roman" w:hAnsi="Times New Roman"/>
          <w:b/>
          <w:sz w:val="20"/>
        </w:rPr>
        <w:t></w:t>
      </w:r>
      <w:r>
        <w:rPr>
          <w:rFonts w:ascii="Times New Roman" w:hAnsi="Times New Roman"/>
          <w:b/>
          <w:sz w:val="20"/>
          <w:u w:val="single"/>
        </w:rPr>
        <w:t>Shares</w:t>
      </w:r>
      <w:r>
        <w:rPr>
          <w:rFonts w:ascii="Times New Roman" w:hAnsi="Times New Roman"/>
          <w:b/>
          <w:sz w:val="20"/>
        </w:rPr>
        <w:t></w:t>
      </w:r>
      <w:r>
        <w:rPr>
          <w:rFonts w:ascii="Times New Roman" w:hAnsi="Times New Roman"/>
          <w:sz w:val="20"/>
        </w:rPr>
        <w:t xml:space="preserve">) to you at a purchase price of $0.0001 pursuant to a certain Founders Restricted Stock Purchase Agreement dated November 21, 2017, as amended as of the date hereof (the </w:t>
      </w:r>
      <w:r>
        <w:rPr>
          <w:rFonts w:ascii="Times New Roman" w:hAnsi="Times New Roman"/>
          <w:b/>
          <w:sz w:val="20"/>
        </w:rPr>
        <w:t></w:t>
      </w:r>
      <w:r>
        <w:rPr>
          <w:rFonts w:ascii="Times New Roman" w:hAnsi="Times New Roman"/>
          <w:b/>
          <w:sz w:val="20"/>
          <w:u w:val="single"/>
        </w:rPr>
        <w:t>Founders RSPA</w:t>
      </w:r>
      <w:r>
        <w:rPr>
          <w:rFonts w:ascii="Times New Roman" w:hAnsi="Times New Roman"/>
          <w:b/>
          <w:sz w:val="20"/>
        </w:rPr>
        <w:t></w:t>
      </w:r>
      <w:r>
        <w:rPr>
          <w:rFonts w:ascii="Times New Roman" w:hAnsi="Times New Roman"/>
          <w:sz w:val="20"/>
        </w:rPr>
        <w:t xml:space="preserve">). The Shares will vest as set forth in the Restricted Stock Purchase Agreement, as the same is amended by a certain Founders Supplemental Equity Agreement currently being negotiated between you, the Company and certain investors in the Company (the </w:t>
      </w:r>
      <w:r>
        <w:rPr>
          <w:rFonts w:ascii="Times New Roman" w:hAnsi="Times New Roman"/>
          <w:b/>
          <w:sz w:val="20"/>
        </w:rPr>
        <w:t></w:t>
      </w:r>
      <w:r>
        <w:rPr>
          <w:rFonts w:ascii="Times New Roman" w:hAnsi="Times New Roman"/>
          <w:b/>
          <w:sz w:val="20"/>
          <w:u w:val="single"/>
        </w:rPr>
        <w:t>Founders Supplemental</w:t>
      </w:r>
      <w:r>
        <w:rPr>
          <w:rFonts w:ascii="Times New Roman" w:hAnsi="Times New Roman"/>
          <w:sz w:val="20"/>
          <w:u w:val="single"/>
        </w:rPr>
        <w:t xml:space="preserve"> </w:t>
      </w:r>
      <w:r>
        <w:rPr>
          <w:rFonts w:ascii="Times New Roman" w:hAnsi="Times New Roman"/>
          <w:b/>
          <w:sz w:val="20"/>
          <w:u w:val="single"/>
        </w:rPr>
        <w:t>Equity Agreement</w:t>
      </w:r>
      <w:r>
        <w:rPr>
          <w:rFonts w:ascii="Times New Roman" w:hAnsi="Times New Roman"/>
          <w:sz w:val="20"/>
        </w:rPr>
        <w:t xml:space="preserve">). In the event you are terminated without Cause, or resign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Good Reason upon or within 12 months of a Change of Control (each term, as defined in the Founders RSPA, as may be amended by the Founders Supplemental Equity Agreement), then all (100%) of the Shares shall vest. The Shares are subject to the Companys repurchase option as set forth in the Founders RSPA, and a secondary repurchase option of certain investors as set forth in the Founders Supplemental Equity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Benefits</w:t>
      </w:r>
      <w:r>
        <w:rPr>
          <w:rFonts w:ascii="Times New Roman" w:hAnsi="Times New Roman"/>
          <w:sz w:val="20"/>
        </w:rPr>
        <w:t xml:space="preserve">. You will be eligible to participate in regular health insurance, vacation, and other employee benefit plans established by the Company for its employees from time to time on substantially the same terms as are made available to employees of the Company generally.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The Company will reimburse you for all reasonable and necessary expenses incurred by you in connection with the Companys business, in accordance with any applicable policy established by the Board from time to time.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At-Will Employment</w:t>
      </w:r>
      <w:r>
        <w:rPr>
          <w:rFonts w:ascii="Times New Roman" w:hAnsi="Times New Roman"/>
          <w:sz w:val="20"/>
        </w:rPr>
        <w:t xml:space="preserve">. You will be an at will employee of the Company, which means that the employment relationship can be terminated by either you or the Company for any reason, at any time, with or without prior notice and with or without cause. Any statements or representations to the contrary should be regarded by you as ineffective. Any modification or change in the at-will employment status may only occur by way of a written employment agreement signed by you and an authorized member of the Board.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Other Agreements</w:t>
      </w:r>
      <w:r>
        <w:rPr>
          <w:rFonts w:ascii="Times New Roman" w:hAnsi="Times New Roman"/>
          <w:sz w:val="20"/>
        </w:rPr>
        <w:t xml:space="preserve">. By signing this offer letter, you represent to the Company that either (a) you are not bound by any other agreement or agreements (i.e., a non-solicitation or non-compete agreement with a former employer) which would inhibit or limit in any way your ability to perform the duties required by this position or to contact, solicit, or hire any other individual or entity to work for or contract with the Company or (b) you have provided copies of any such agreements to the Company prior to signing this offer letter.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This offer letter constitutes the entire agreement between you and the Company regarding the terms and conditions of your employment, and they supersede all prior negotiations, representations, or agreements between you and the Company. The provisions of this agreement may only be modified by a document signed by you and the Company. This offer letter will be governed by the laws of the State of California.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indicate your acceptance to the foregoing terms by signing this letter where indicated below and returning it to me. If you have any questions, please give me a call.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Astera Labs,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822"/>
        <w:gridCol w:w="461"/>
        <w:gridCol w:w="1799"/>
      </w:tblGrid>
      <w:tr>
        <w:trPr/>
        <w:tc>
          <w:tcPr>
            <w:tcW w:w="1822"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AGREED TO AND ACCEPTED BY: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Jitendra Mohan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Jitendra Mohan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[Printed 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March 13, 2018</w:t>
            </w:r>
          </w:p>
        </w:tc>
      </w:tr>
    </w:tbl>
    <w:p>
      <w:pPr>
        <w:pStyle w:val="TextBody"/>
        <w:bidi w:val="0"/>
        <w:spacing w:before="240" w:after="0"/>
        <w:jc w:val="left"/>
        <w:rPr>
          <w:rFonts w:ascii="Times New Roman" w:hAnsi="Times New Roman"/>
          <w:sz w:val="20"/>
        </w:rPr>
      </w:pPr>
      <w:r>
        <w:rPr>
          <w:rFonts w:ascii="Times New Roman" w:hAnsi="Times New Roman"/>
          <w:sz w:val="20"/>
        </w:rPr>
        <w:t xml:space="preserve">Enclosure: Confidential Information and Invention Assignment Agreement </w:t>
      </w:r>
    </w:p>
    <w:p>
      <w:pPr>
        <w:pStyle w:val="TextBody"/>
        <w:bidi w:val="0"/>
        <w:spacing w:before="0" w:after="0"/>
        <w:jc w:val="right"/>
        <w:rPr>
          <w:rFonts w:ascii="Times New Roman" w:hAnsi="Times New Roman"/>
          <w:b/>
          <w:sz w:val="20"/>
        </w:rPr>
      </w:pPr>
      <w:bookmarkStart w:id="53" w:name="d285484dex109.htm"/>
      <w:bookmarkStart w:id="54" w:name="ksd285484dex109"/>
      <w:bookmarkEnd w:id="53"/>
      <w:bookmarkEnd w:id="54"/>
      <w:r>
        <w:rPr>
          <w:rFonts w:ascii="Times New Roman" w:hAnsi="Times New Roman"/>
          <w:b/>
          <w:sz w:val="20"/>
        </w:rPr>
        <w:t xml:space="preserve">Exhibit 10.9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240" w:after="0"/>
        <w:jc w:val="left"/>
        <w:rPr>
          <w:rFonts w:ascii="Times New Roman" w:hAnsi="Times New Roman"/>
          <w:sz w:val="20"/>
        </w:rPr>
      </w:pPr>
      <w:r>
        <w:rPr>
          <w:rFonts w:ascii="Times New Roman" w:hAnsi="Times New Roman"/>
          <w:sz w:val="20"/>
        </w:rPr>
        <w:t xml:space="preserve">March 13, 2018 </w:t>
      </w:r>
    </w:p>
    <w:p>
      <w:pPr>
        <w:pStyle w:val="TextBody"/>
        <w:bidi w:val="0"/>
        <w:spacing w:before="240" w:after="0"/>
        <w:jc w:val="left"/>
        <w:rPr>
          <w:rFonts w:ascii="Times New Roman" w:hAnsi="Times New Roman"/>
          <w:sz w:val="20"/>
        </w:rPr>
      </w:pPr>
      <w:r>
        <w:rPr>
          <w:rFonts w:ascii="Times New Roman" w:hAnsi="Times New Roman"/>
          <w:sz w:val="20"/>
        </w:rPr>
        <w:t xml:space="preserve">Gajendra Sanjay Akkasalamakki </w:t>
      </w:r>
    </w:p>
    <w:p>
      <w:pPr>
        <w:pStyle w:val="TextBody"/>
        <w:bidi w:val="0"/>
        <w:spacing w:before="240" w:after="0"/>
        <w:jc w:val="left"/>
        <w:rPr>
          <w:rFonts w:ascii="Times New Roman" w:hAnsi="Times New Roman"/>
          <w:b/>
          <w:sz w:val="20"/>
        </w:rPr>
      </w:pPr>
      <w:r>
        <w:rPr>
          <w:rFonts w:ascii="Times New Roman" w:hAnsi="Times New Roman"/>
          <w:b/>
          <w:sz w:val="20"/>
        </w:rPr>
        <w:t xml:space="preserve">Re: Employment Offer </w:t>
      </w:r>
    </w:p>
    <w:p>
      <w:pPr>
        <w:pStyle w:val="TextBody"/>
        <w:bidi w:val="0"/>
        <w:spacing w:before="240" w:after="0"/>
        <w:jc w:val="left"/>
        <w:rPr>
          <w:rFonts w:ascii="Times New Roman" w:hAnsi="Times New Roman"/>
          <w:sz w:val="20"/>
        </w:rPr>
      </w:pPr>
      <w:r>
        <w:rPr>
          <w:rFonts w:ascii="Times New Roman" w:hAnsi="Times New Roman"/>
          <w:sz w:val="20"/>
        </w:rPr>
        <w:t xml:space="preserve">Dear Sanjay, </w:t>
      </w:r>
    </w:p>
    <w:p>
      <w:pPr>
        <w:pStyle w:val="TextBody"/>
        <w:bidi w:val="0"/>
        <w:spacing w:before="120" w:after="0"/>
        <w:jc w:val="left"/>
        <w:rPr>
          <w:rFonts w:ascii="Times New Roman" w:hAnsi="Times New Roman"/>
          <w:sz w:val="20"/>
        </w:rPr>
      </w:pPr>
      <w:r>
        <w:rPr>
          <w:rFonts w:ascii="Times New Roman" w:hAnsi="Times New Roman"/>
          <w:sz w:val="20"/>
        </w:rPr>
        <w:t>This will confirm the terms under which you will be employed by Astera Labs, Inc., a Delaware corporation (the </w:t>
      </w:r>
      <w:r>
        <w:rPr>
          <w:rFonts w:ascii="Times New Roman" w:hAnsi="Times New Roman"/>
          <w:b/>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Position and Duties</w:t>
      </w:r>
      <w:r>
        <w:rPr>
          <w:rFonts w:ascii="Times New Roman" w:hAnsi="Times New Roman"/>
          <w:sz w:val="20"/>
        </w:rPr>
        <w:t xml:space="preserve">. You have served as Chief Revenue Officer and Chief Financial Officer of the Company since its formation and shall continue to serve in such position. You will perform such duties as are ordinary, customary, and necessary in such role. You shall devote your full business time, skill and attention to the performance of your duties on behalf of the Company. You will devote your efforts to the interests of the Company as set forth in the preceding sentence and will not engage in other employment or in any activities detrimental to the interests of the Company without the prior written consent of the Company. Although your duties may include occasional travel on behalf of the Company, your primary duties will be performed at the Companys headquarters.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Proof of Right to Work; Assignment Agreement</w:t>
      </w:r>
      <w:r>
        <w:rPr>
          <w:rFonts w:ascii="Times New Roman" w:hAnsi="Times New Roman"/>
          <w:sz w:val="20"/>
        </w:rPr>
        <w:t>. If you have not already done so, you will be required to prove your eligibility for employment under the Immigration and Reform Control Act of 1986. You will be required to sign and comply with the Companys standard employee confidential information and invention assignment agreement (</w:t>
      </w:r>
      <w:r>
        <w:rPr>
          <w:rFonts w:ascii="Times New Roman" w:hAnsi="Times New Roman"/>
          <w:b/>
          <w:sz w:val="20"/>
          <w:u w:val="single"/>
        </w:rPr>
        <w:t>CIIA</w:t>
      </w:r>
      <w:r>
        <w:rPr>
          <w:rFonts w:ascii="Times New Roman" w:hAnsi="Times New Roman"/>
          <w:sz w:val="20"/>
        </w:rPr>
        <w:t xml:space="preserve">), a copy of which is attached hereto as </w:t>
      </w:r>
      <w:r>
        <w:rPr>
          <w:rFonts w:ascii="Times New Roman" w:hAnsi="Times New Roman"/>
          <w:sz w:val="20"/>
          <w:u w:val="single"/>
        </w:rPr>
        <w:t>Exhibit A</w:t>
      </w:r>
      <w:r>
        <w:rPr>
          <w:rFonts w:ascii="Times New Roman" w:hAnsi="Times New Roman"/>
          <w:sz w:val="20"/>
        </w:rPr>
        <w:t xml:space="preserve"> concurrently with your execution of this Agreement. The CIAA requires, among other provisions, the assignment to the Company of proprietary rights to any invention made during your employment at the Company and non-disclosure of confidential information.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Compensation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Salary</w:t>
      </w:r>
      <w:r>
        <w:rPr>
          <w:rFonts w:ascii="Times New Roman" w:hAnsi="Times New Roman"/>
          <w:sz w:val="20"/>
        </w:rPr>
        <w:t xml:space="preserve">. The Company agrees to pay you an annual salary of $160,000 payable as earned in accordance with the Companys customary payroll practices (but no less than monthly). You will begin receiving this salary on the date the Companys initial sale of its Series A Preferred Stock. Your salary shall be reviewed by the Company for possible increases annually.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Restricted Stock Grant</w:t>
      </w:r>
      <w:r>
        <w:rPr>
          <w:rFonts w:ascii="Times New Roman" w:hAnsi="Times New Roman"/>
          <w:sz w:val="20"/>
        </w:rPr>
        <w:t>. You accept and acknowledge that the Company has issued 3,700,000 shares of the Companys Common Stock, par value $0.0001 (the </w:t>
      </w:r>
      <w:r>
        <w:rPr>
          <w:rFonts w:ascii="Times New Roman" w:hAnsi="Times New Roman"/>
          <w:b/>
          <w:sz w:val="20"/>
          <w:u w:val="single"/>
        </w:rPr>
        <w:t>Shares</w:t>
      </w:r>
      <w:r>
        <w:rPr>
          <w:rFonts w:ascii="Times New Roman" w:hAnsi="Times New Roman"/>
          <w:sz w:val="20"/>
        </w:rPr>
        <w:t>) to you at a purchase price of $0.0001 pursuant to a certain Founders Restricted Stock Purchase Agreement dated November 21, 2017, as amended as of the date hereof (the </w:t>
      </w:r>
      <w:r>
        <w:rPr>
          <w:rFonts w:ascii="Times New Roman" w:hAnsi="Times New Roman"/>
          <w:b/>
          <w:sz w:val="20"/>
          <w:u w:val="single"/>
        </w:rPr>
        <w:t>Founders RSPA</w:t>
      </w:r>
      <w:r>
        <w:rPr>
          <w:rFonts w:ascii="Times New Roman" w:hAnsi="Times New Roman"/>
          <w:sz w:val="20"/>
        </w:rPr>
        <w:t>). The Shares will vest as set forth in the Restricted Stock Purchase Agreement, as the same is amended by a certain Founders Supplemental Equity Agreement currently being negotiated between you, the Company and certain investors in the Company (the </w:t>
      </w:r>
      <w:r>
        <w:rPr>
          <w:rFonts w:ascii="Times New Roman" w:hAnsi="Times New Roman"/>
          <w:b/>
          <w:sz w:val="20"/>
          <w:u w:val="single"/>
        </w:rPr>
        <w:t>Founders Supplemental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Equity Agreement</w:t>
      </w:r>
      <w:r>
        <w:rPr>
          <w:rFonts w:ascii="Times New Roman" w:hAnsi="Times New Roman"/>
          <w:sz w:val="20"/>
        </w:rPr>
        <w:t xml:space="preserve">). In the event you are terminated without Cause, or resign for Good Reason upon or within 12 months of a Change of Control (each term, as defined in the Founders RSPA, as may be amended by the Founders Supplemental Equity Agreement), then all (100%) of the Shares shall vest. The Shares are subject to the Companys repurchase option as set forth in the Founders RSPA, and a secondary repurchase option of certain investors as set forth in the Founders Supplemental Equity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Benefits</w:t>
      </w:r>
      <w:r>
        <w:rPr>
          <w:rFonts w:ascii="Times New Roman" w:hAnsi="Times New Roman"/>
          <w:sz w:val="20"/>
        </w:rPr>
        <w:t xml:space="preserve">. You will be eligible to participate in regular health insurance, vacation, and other employee benefit plans established by the Company for its employees from time to time on substantially the same terms as are made available to employees of the Company generally.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Expenses</w:t>
      </w:r>
      <w:r>
        <w:rPr>
          <w:rFonts w:ascii="Times New Roman" w:hAnsi="Times New Roman"/>
          <w:sz w:val="20"/>
        </w:rPr>
        <w:t xml:space="preserve">. The Company will reimburse you for all reasonable and necessary expenses incurred by you in connection with the Companys business, in accordance with any applicable policy established by the Board from time to time.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At-Will Employment</w:t>
      </w:r>
      <w:r>
        <w:rPr>
          <w:rFonts w:ascii="Times New Roman" w:hAnsi="Times New Roman"/>
          <w:sz w:val="20"/>
        </w:rPr>
        <w:t xml:space="preserve">. You will be an at will employee of the Company, which means that the employment relationship can be terminated by either you or the Company for any reason, at any time, with or without prior notice and with or without cause. Any statements or representations to the contrary should be regarded by you as ineffective. Any modification or change in the at-will employment status may only occur by way of a written employment agreement signed by you and an authorized member of the Board.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Other Agreements</w:t>
      </w:r>
      <w:r>
        <w:rPr>
          <w:rFonts w:ascii="Times New Roman" w:hAnsi="Times New Roman"/>
          <w:sz w:val="20"/>
        </w:rPr>
        <w:t xml:space="preserve">. By signing this offer letter, you represent to the Company that either (a) you are not bound by any other agreement or agreements (i.e., a non-solicitation or non-compete agreement with a former employer) which would inhibit or limit in any way your ability to perform the duties required by this position or to contact, solicit, or hire any other individual or entity to work for or contract with the Company or (b) you have provided copies of any such agreements to the Company prior to signing this offer letter.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This offer letter constitutes the entire agreement between you and the Company regarding the terms and conditions of your employment, and they supersede all prior negotiations, representations, or agreements between you and the Company. The provisions of this agreement may only be modified by a document signed by you and the Company. This offer letter will be governed by the laws of the State of California.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indicate your acceptance to the foregoing terms by signing this letter where indicated below and returning it to me. If you have any questions, please give me a call.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Astera Labs,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Jitendra Mohan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AGREED TO AND ACCEPTED BY: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840"/>
        <w:gridCol w:w="426"/>
        <w:gridCol w:w="1816"/>
      </w:tblGrid>
      <w:tr>
        <w:trPr/>
        <w:tc>
          <w:tcPr>
            <w:tcW w:w="1840"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Gajendra Sanjay Akkasalamakki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Gajendra Sanjay Akkasalamakki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[Printed name]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March 13, 2018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79"/>
        <w:gridCol w:w="9226"/>
      </w:tblGrid>
      <w:tr>
        <w:trPr/>
        <w:tc>
          <w:tcPr>
            <w:tcW w:w="979" w:type="dxa"/>
            <w:tcBorders/>
          </w:tcPr>
          <w:p>
            <w:pPr>
              <w:pStyle w:val="TableContents"/>
              <w:bidi w:val="0"/>
              <w:spacing w:before="0" w:after="283"/>
              <w:jc w:val="left"/>
              <w:rPr/>
            </w:pPr>
            <w:r>
              <w:rPr/>
              <w:t>Enclosure:</w:t>
            </w:r>
          </w:p>
        </w:tc>
        <w:tc>
          <w:tcPr>
            <w:tcW w:w="92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Information and Invention Assignment Agreement </w:t>
            </w:r>
          </w:p>
        </w:tc>
      </w:tr>
    </w:tbl>
    <w:p>
      <w:pPr>
        <w:pStyle w:val="TextBody"/>
        <w:bidi w:val="0"/>
        <w:spacing w:before="0" w:after="0"/>
        <w:jc w:val="right"/>
        <w:rPr>
          <w:rFonts w:ascii="Times New Roman" w:hAnsi="Times New Roman"/>
          <w:b/>
          <w:sz w:val="20"/>
        </w:rPr>
      </w:pPr>
      <w:bookmarkStart w:id="55" w:name="d285484dex1010.htm"/>
      <w:bookmarkStart w:id="56" w:name="ksd285484dex1010"/>
      <w:bookmarkEnd w:id="55"/>
      <w:bookmarkEnd w:id="56"/>
      <w:r>
        <w:rPr>
          <w:rFonts w:ascii="Times New Roman" w:hAnsi="Times New Roman"/>
          <w:b/>
          <w:sz w:val="20"/>
        </w:rPr>
        <w:t xml:space="preserve">Exhibit 10.10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EXECUTIVE EMPLOYMENT AGREEMENT </w:t>
      </w:r>
    </w:p>
    <w:p>
      <w:pPr>
        <w:pStyle w:val="TextBody"/>
        <w:bidi w:val="0"/>
        <w:spacing w:before="240" w:after="0"/>
        <w:jc w:val="left"/>
        <w:rPr>
          <w:rFonts w:ascii="Times New Roman" w:hAnsi="Times New Roman"/>
          <w:sz w:val="20"/>
        </w:rPr>
      </w:pPr>
      <w:r>
        <w:rPr>
          <w:rFonts w:ascii="Times New Roman" w:hAnsi="Times New Roman"/>
          <w:sz w:val="20"/>
        </w:rPr>
        <w:t>This Executive Employment Agreement (this </w:t>
      </w:r>
      <w:r>
        <w:rPr>
          <w:rFonts w:ascii="Times New Roman" w:hAnsi="Times New Roman"/>
          <w:b/>
          <w:sz w:val="20"/>
          <w:u w:val="single"/>
        </w:rPr>
        <w:t>Agreement</w:t>
      </w:r>
      <w:r>
        <w:rPr>
          <w:rFonts w:ascii="Times New Roman" w:hAnsi="Times New Roman"/>
          <w:sz w:val="20"/>
        </w:rPr>
        <w:t>) is made as of July 21, 2020 by Astera Labs, Inc., a Delaware corporation (the </w:t>
      </w:r>
      <w:r>
        <w:rPr>
          <w:rFonts w:ascii="Times New Roman" w:hAnsi="Times New Roman"/>
          <w:b/>
          <w:sz w:val="20"/>
          <w:u w:val="single"/>
        </w:rPr>
        <w:t>Employer</w:t>
      </w:r>
      <w:r>
        <w:rPr>
          <w:rFonts w:ascii="Times New Roman" w:hAnsi="Times New Roman"/>
          <w:sz w:val="20"/>
        </w:rPr>
        <w:t>), and Mike Tate, an individual resident in the State of California (the </w:t>
      </w:r>
      <w:r>
        <w:rPr>
          <w:rFonts w:ascii="Times New Roman" w:hAnsi="Times New Roman"/>
          <w:b/>
          <w:sz w:val="20"/>
          <w:u w:val="single"/>
        </w:rPr>
        <w:t>Executive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Employer desire Executives employment with Employer, and Executive wishes to accept such employment, upon the terms and conditions set forth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Agreement, the following terms have the meanings specified or referred to in this Article 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Basic Compensation</w:t>
      </w:r>
      <w:r>
        <w:rPr>
          <w:rFonts w:ascii="Times New Roman" w:hAnsi="Times New Roman"/>
          <w:sz w:val="20"/>
        </w:rPr>
        <w:t xml:space="preserve"> - Salary and Benefits.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Benefits</w:t>
      </w:r>
      <w:r>
        <w:rPr>
          <w:rFonts w:ascii="Times New Roman" w:hAnsi="Times New Roman"/>
          <w:sz w:val="20"/>
        </w:rPr>
        <w:t xml:space="preserve"> - as defined in Section 3.1(c).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Board of Directors</w:t>
      </w:r>
      <w:r>
        <w:rPr>
          <w:rFonts w:ascii="Times New Roman" w:hAnsi="Times New Roman"/>
          <w:sz w:val="20"/>
        </w:rPr>
        <w:t xml:space="preserve"> - the board of directors of Employer.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Cause</w:t>
      </w:r>
      <w:r>
        <w:rPr>
          <w:rFonts w:ascii="Times New Roman" w:hAnsi="Times New Roman"/>
          <w:sz w:val="20"/>
        </w:rPr>
        <w:t xml:space="preserve"> means: (a) Executives material breach of this Agreement; (b) Executives repeated failure to adhere to any reasonable written Employer policy that results in material harm to Employer; (c) the appropriation (or attempted appropriation) of a material business opportunity of Employer, including attempting to secure or securing any material personal profit in connection with any transaction entered into on behalf of Employer without disclosure to Employer; (d) the misappropriation (or attempted misappropriation) of a material portion of Employers funds or property; or (e) the conviction of, or the entering of a guilty plea or plea of no contest with respect to, a felony or a crime of moral turpitude.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Change of Control</w:t>
      </w:r>
      <w:r>
        <w:rPr>
          <w:rFonts w:ascii="Times New Roman" w:hAnsi="Times New Roman"/>
          <w:sz w:val="20"/>
        </w:rPr>
        <w:t xml:space="preserve"> means either: (i) a merger, consolidation, share exchange or securities sale, or a series of such transactions, and as a result of such merger, consolidation, share exchange or securities sale, the holders of the outstanding shares of capital stock of the Company immediately prior to such transaction or series of transactions end up holding less than 1/2 (one half) of the capital stock of the surviving or resulting entity (or if the surviving or resulting entity is a wholly owned subsidiary of another entity following such transaction or series of transactions, the parent entity of such surviving or resulting entity); or (ii) the sale, transfer, lease, exclusive license or other conveyance (other than a pledge or grant of one or more security interests), in a single transaction or a series of related transactions, by the Company of all or substantially all the assets of the Company, except where such sale, transfer, lease, exclusive license or other conveyance is to a wholly owned subsidiary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Confidential Information</w:t>
      </w:r>
      <w:r>
        <w:rPr>
          <w:rFonts w:ascii="Times New Roman" w:hAnsi="Times New Roman"/>
          <w:sz w:val="20"/>
        </w:rPr>
        <w:t xml:space="preserve"> - any and all: </w:t>
      </w:r>
    </w:p>
    <w:p>
      <w:pPr>
        <w:pStyle w:val="TextBody"/>
        <w:bidi w:val="0"/>
        <w:spacing w:before="120" w:after="0"/>
        <w:jc w:val="left"/>
        <w:rPr>
          <w:rFonts w:ascii="Times New Roman" w:hAnsi="Times New Roman"/>
          <w:sz w:val="20"/>
        </w:rPr>
      </w:pPr>
      <w:r>
        <w:rPr>
          <w:rFonts w:ascii="Times New Roman" w:hAnsi="Times New Roman"/>
          <w:sz w:val="20"/>
        </w:rPr>
        <w:t xml:space="preserve">(a) trade secrets concerning the business and affairs of Employer, including product specifications, data, know-how, formulae, compositions, processes,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 and any other information, however documented, that is a trade secret as defined under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(b) confidential information concerning the business and affairs of Employer (which includes historical financial statements, financial projections and budgets, historical and projected sales, capital spending budgets and plans, the names and backgrounds of key personnel, personnel training and techniques and materials), however documented; and </w:t>
      </w:r>
    </w:p>
    <w:p>
      <w:pPr>
        <w:pStyle w:val="TextBody"/>
        <w:bidi w:val="0"/>
        <w:spacing w:before="120" w:after="0"/>
        <w:jc w:val="left"/>
        <w:rPr>
          <w:rFonts w:ascii="Times New Roman" w:hAnsi="Times New Roman"/>
          <w:sz w:val="20"/>
        </w:rPr>
      </w:pPr>
      <w:r>
        <w:rPr>
          <w:rFonts w:ascii="Times New Roman" w:hAnsi="Times New Roman"/>
          <w:sz w:val="20"/>
        </w:rPr>
        <w:t xml:space="preserve">(c) notes, analysis, compilations, studies, summaries, and other material prepared by or for Employer containing or based, in whole or in part, on any information included in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Disability</w:t>
      </w:r>
      <w:r>
        <w:rPr>
          <w:rFonts w:ascii="Times New Roman" w:hAnsi="Times New Roman"/>
          <w:sz w:val="20"/>
        </w:rPr>
        <w:t xml:space="preserve"> - as defined in Section 7.2.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Effective Date</w:t>
      </w:r>
      <w:r>
        <w:rPr>
          <w:rFonts w:ascii="Times New Roman" w:hAnsi="Times New Roman"/>
          <w:sz w:val="20"/>
        </w:rPr>
        <w:t xml:space="preserve">  the date stated in the first paragraph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Employee Invention</w:t>
      </w:r>
      <w:r>
        <w:rPr>
          <w:rFonts w:ascii="Times New Roman" w:hAnsi="Times New Roman"/>
          <w:sz w:val="20"/>
        </w:rPr>
        <w:t xml:space="preserve"> - any idea, invention, technique, modification, process, or improvement (whether patentable or not), any industrial design (whether registerable or not), any mask work, however fixed or encoded, that is suitable to be fixed, embedded or programmed in a semiconductor product (whether recordable or not), and any work of authorship (whether or not copyright protection may be obtained for it) created, conceived, or developed by Executive, either solely or in conjunction with others, during the Employment Period, or a period that includes a portion of the Employment Period, that relates in any way to, or is useful in any manner in, the business then being conducted or proposed to be conducted by Employer, and any such item created by Executive, either solely or in conjunction with others, following termination of Executives employment with Employer, that is based upon or uses Confidential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Employment Period</w:t>
      </w:r>
      <w:r>
        <w:rPr>
          <w:rFonts w:ascii="Times New Roman" w:hAnsi="Times New Roman"/>
          <w:sz w:val="20"/>
        </w:rPr>
        <w:t xml:space="preserve"> - the term of Executives employment under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Fiscal Year</w:t>
      </w:r>
      <w:r>
        <w:rPr>
          <w:rFonts w:ascii="Times New Roman" w:hAnsi="Times New Roman"/>
          <w:sz w:val="20"/>
        </w:rPr>
        <w:t xml:space="preserve"> - Employers fiscal year, as it exists on the Effective Date or as changed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Involuntary Termination</w:t>
      </w:r>
      <w:r>
        <w:rPr>
          <w:rFonts w:ascii="Times New Roman" w:hAnsi="Times New Roman"/>
          <w:sz w:val="20"/>
        </w:rPr>
        <w:t xml:space="preserve"> -means the resignation or Employers dismissal of the Executive for any reason other than Termination for Cause or the Executives voluntary resignation after the occurrence of any of the following events that occurs without the written consent of Executive: (i) a reduction in Executives Basic Compensation or a reduction in the target amount of Executives Additional Compensation, in each case in an amount exceeding thirty-five percent (35%) on an annual basis; (ii) a relocation of Executives principal place of employment more than seventy-five (75) miles from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location as of the date hereof; or (iii) the assignment to Executive of responsibilities that are not consistent with his current role in the Employer. For the avoidance of doubt, the Executives responsibilities will not be considered consistent with his current role in the Employer if upon a Change of Control the Executive does not effectively have the same position and level of responsibility with respect to any acquiring entity, or its parent organization (if the Company or another subsidiary or affiliate of the acquiring entity survives the Change of Control) that the Executive had with the Company immediately prior to the Change of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person</w:t>
      </w:r>
      <w:r>
        <w:rPr>
          <w:rFonts w:ascii="Times New Roman" w:hAnsi="Times New Roman"/>
          <w:sz w:val="20"/>
        </w:rPr>
        <w:t xml:space="preserve"> - any individual, corporation (including any non-profit corporation), general or limited partnership, limited liability company, joint venture, estate, trust, association, organization, or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Proprietary Items</w:t>
      </w:r>
      <w:r>
        <w:rPr>
          <w:rFonts w:ascii="Times New Roman" w:hAnsi="Times New Roman"/>
          <w:sz w:val="20"/>
        </w:rPr>
        <w:t xml:space="preserve"> - as defined in Section 7.2(a)(iii).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Restricted Period</w:t>
      </w:r>
      <w:r>
        <w:rPr>
          <w:rFonts w:ascii="Times New Roman" w:hAnsi="Times New Roman"/>
          <w:sz w:val="20"/>
        </w:rPr>
        <w:t xml:space="preserve">  The date starting from the date of any termination of employment hereunder and continuing for a period of three (3) years from such termination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Salary</w:t>
      </w:r>
      <w:r>
        <w:rPr>
          <w:rFonts w:ascii="Times New Roman" w:hAnsi="Times New Roman"/>
          <w:sz w:val="20"/>
        </w:rPr>
        <w:t xml:space="preserve"> - as defined in Section 3.1(a).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Termination Date</w:t>
      </w:r>
      <w:r>
        <w:rPr>
          <w:rFonts w:ascii="Times New Roman" w:hAnsi="Times New Roman"/>
          <w:sz w:val="20"/>
        </w:rPr>
        <w:t xml:space="preserve">  means the date of termination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EMPLOYMENT TERMS AND DUTIES </w:t>
      </w:r>
    </w:p>
    <w:p>
      <w:pPr>
        <w:pStyle w:val="TextBody"/>
        <w:bidi w:val="0"/>
        <w:spacing w:before="240" w:after="0"/>
        <w:jc w:val="left"/>
        <w:rPr>
          <w:rFonts w:ascii="Times New Roman" w:hAnsi="Times New Roman"/>
          <w:b/>
          <w:sz w:val="20"/>
        </w:rPr>
      </w:pPr>
      <w:r>
        <w:rPr>
          <w:rFonts w:ascii="Times New Roman" w:hAnsi="Times New Roman"/>
          <w:b/>
          <w:sz w:val="20"/>
        </w:rPr>
        <w:t xml:space="preserve">2.1 EMPLOYMENT </w:t>
      </w:r>
    </w:p>
    <w:p>
      <w:pPr>
        <w:pStyle w:val="TextBody"/>
        <w:bidi w:val="0"/>
        <w:spacing w:before="240" w:after="0"/>
        <w:jc w:val="left"/>
        <w:rPr>
          <w:rFonts w:ascii="Times New Roman" w:hAnsi="Times New Roman"/>
          <w:sz w:val="20"/>
        </w:rPr>
      </w:pPr>
      <w:r>
        <w:rPr>
          <w:rFonts w:ascii="Times New Roman" w:hAnsi="Times New Roman"/>
          <w:sz w:val="20"/>
        </w:rPr>
        <w:t xml:space="preserve">Employer hereby employs Executive, and Executive hereby accepts employment by Employer, upon the terms and conditions set forth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2.2 TERM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provisions of Section 6, the term of Executives employment under this Agreement will begin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Beginning on the Effective Date, Executive and Employer agree that Executives employment shall continue as an employment at-will relationship, during which either party, with or without advance written notice or cause, may terminate employment at any time. </w:t>
      </w:r>
    </w:p>
    <w:p>
      <w:pPr>
        <w:pStyle w:val="TextBody"/>
        <w:bidi w:val="0"/>
        <w:spacing w:before="240" w:after="0"/>
        <w:jc w:val="left"/>
        <w:rPr>
          <w:rFonts w:ascii="Times New Roman" w:hAnsi="Times New Roman"/>
          <w:b/>
          <w:sz w:val="20"/>
        </w:rPr>
      </w:pPr>
      <w:r>
        <w:rPr>
          <w:rFonts w:ascii="Times New Roman" w:hAnsi="Times New Roman"/>
          <w:b/>
          <w:sz w:val="20"/>
        </w:rPr>
        <w:t xml:space="preserve">2.3 DUTIES </w:t>
      </w:r>
    </w:p>
    <w:p>
      <w:pPr>
        <w:pStyle w:val="TextBody"/>
        <w:bidi w:val="0"/>
        <w:spacing w:before="240" w:after="0"/>
        <w:jc w:val="left"/>
        <w:rPr>
          <w:rFonts w:ascii="Times New Roman" w:hAnsi="Times New Roman"/>
          <w:sz w:val="20"/>
        </w:rPr>
      </w:pPr>
      <w:r>
        <w:rPr>
          <w:rFonts w:ascii="Times New Roman" w:hAnsi="Times New Roman"/>
          <w:sz w:val="20"/>
        </w:rPr>
        <w:t xml:space="preserve">Executive will serve as Chief Financial Officer of the Employer and will have such duties as are consistent with such title and that are assigned or delegated to Executive by the Board of Directors or Chief Executive Officer. Executives title shall be Chief Financial Officer. Executive will use his reasonable best efforts to promote the success of Employers business, and will cooperate with the Board of Directors in the advancement of the best interests of Employer.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noted and agreed by both the Employer and the Executive that the Executive will be working part-time hours and such hours worked will vary from time to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3.1 BASIC COMPENSATION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Salary</w:t>
      </w:r>
      <w:r>
        <w:rPr>
          <w:rFonts w:ascii="Times New Roman" w:hAnsi="Times New Roman"/>
          <w:sz w:val="20"/>
        </w:rPr>
        <w:t>. Executive will be paid an annual salary of $49,920 subject to adjustment as provided below (the </w:t>
      </w:r>
      <w:r>
        <w:rPr>
          <w:rFonts w:ascii="Times New Roman" w:hAnsi="Times New Roman"/>
          <w:b/>
          <w:sz w:val="20"/>
          <w:u w:val="single"/>
        </w:rPr>
        <w:t>Salary</w:t>
      </w:r>
      <w:r>
        <w:rPr>
          <w:rFonts w:ascii="Times New Roman" w:hAnsi="Times New Roman"/>
          <w:sz w:val="20"/>
        </w:rPr>
        <w:t xml:space="preserve">), which will be payable in equal periodic installments according to Employer s customary payroll practices, but no less frequently than monthly.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Additional Compensation</w:t>
      </w:r>
      <w:r>
        <w:rPr>
          <w:rFonts w:ascii="Times New Roman" w:hAnsi="Times New Roman"/>
          <w:sz w:val="20"/>
        </w:rPr>
        <w:t>. Executive will be entitled to receive Additional Compensation as set forth on Exhibit A (the </w:t>
      </w:r>
      <w:r>
        <w:rPr>
          <w:rFonts w:ascii="Times New Roman" w:hAnsi="Times New Roman"/>
          <w:b/>
          <w:sz w:val="20"/>
          <w:u w:val="single"/>
        </w:rPr>
        <w:t>Additional Compensation</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Benefits</w:t>
      </w:r>
      <w:r>
        <w:rPr>
          <w:rFonts w:ascii="Times New Roman" w:hAnsi="Times New Roman"/>
          <w:sz w:val="20"/>
        </w:rPr>
        <w:t>. Executive will, during the Employment Period, be permitted to participate in such pension, profit sharing, bonus, life insurance, hospitalization, major medical, and other employee benefit plans of Employer that may be in effect from time to time, to the extent Executive is eligible under the terms of those plans (collectively, the </w:t>
      </w:r>
      <w:r>
        <w:rPr>
          <w:rFonts w:ascii="Times New Roman" w:hAnsi="Times New Roman"/>
          <w:b/>
          <w:sz w:val="20"/>
          <w:u w:val="single"/>
        </w:rPr>
        <w:t>Benefits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FACILITIES AND EXPENSES </w:t>
      </w:r>
    </w:p>
    <w:p>
      <w:pPr>
        <w:pStyle w:val="TextBody"/>
        <w:bidi w:val="0"/>
        <w:spacing w:before="240" w:after="0"/>
        <w:jc w:val="left"/>
        <w:rPr>
          <w:rFonts w:ascii="Times New Roman" w:hAnsi="Times New Roman"/>
          <w:b/>
          <w:sz w:val="20"/>
        </w:rPr>
      </w:pPr>
      <w:r>
        <w:rPr>
          <w:rFonts w:ascii="Times New Roman" w:hAnsi="Times New Roman"/>
          <w:b/>
          <w:sz w:val="20"/>
        </w:rPr>
        <w:t xml:space="preserve">4.1 GENERAL </w:t>
      </w:r>
    </w:p>
    <w:p>
      <w:pPr>
        <w:pStyle w:val="TextBody"/>
        <w:bidi w:val="0"/>
        <w:spacing w:before="240" w:after="0"/>
        <w:jc w:val="left"/>
        <w:rPr>
          <w:rFonts w:ascii="Times New Roman" w:hAnsi="Times New Roman"/>
          <w:sz w:val="20"/>
        </w:rPr>
      </w:pPr>
      <w:r>
        <w:rPr>
          <w:rFonts w:ascii="Times New Roman" w:hAnsi="Times New Roman"/>
          <w:sz w:val="20"/>
        </w:rPr>
        <w:t xml:space="preserve">Employer will furnish Executive office space, equipment, supplies, and such other facilities and personnel, as Employer deems necessary or appropriate for the performance of Executives duties under this Agreement. Employer will pay on behalf of Executive (or reimburse Executive for) reasonable expenses incurred by Executive at the request of, or on behalf of, Employer in the performance of Executives duties pursuant to this Agreement, and in accordance with Employers employment policies, including reasonable expenses incurred by Executive in attending conventions, seminars, and other business meetings, in appropriate business entertainment activities, and for promotional expenses. Executive must file expense reports with respect to such expenses in accordance with Employers policies.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VACATIONS AND HOLIDAYS </w:t>
      </w:r>
    </w:p>
    <w:p>
      <w:pPr>
        <w:pStyle w:val="TextBody"/>
        <w:bidi w:val="0"/>
        <w:spacing w:before="240" w:after="0"/>
        <w:jc w:val="left"/>
        <w:rPr>
          <w:rFonts w:ascii="Times New Roman" w:hAnsi="Times New Roman"/>
          <w:sz w:val="20"/>
        </w:rPr>
      </w:pPr>
      <w:r>
        <w:rPr>
          <w:rFonts w:ascii="Times New Roman" w:hAnsi="Times New Roman"/>
          <w:sz w:val="20"/>
        </w:rPr>
        <w:t xml:space="preserve">Executive will be entitled to vacation days in accordance with the vacation policies of Employer in effect for its executive officers from time to time, but not less than those received during 2020. Vacation must be taken by Executive at such time or times as approved by the Chief Executive Officer. Executive will also be entitled to the paid holidays and other paid leave set forth in Employers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6.1 EVENTS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The Employment Period, Executives Basic Compensation, and any and all other rights of Executive under this Agreement or otherwise as an employee of Employer will terminate (except as otherwise provided in this Article VI or Section 2.2): </w:t>
      </w:r>
    </w:p>
    <w:p>
      <w:pPr>
        <w:pStyle w:val="TextBody"/>
        <w:bidi w:val="0"/>
        <w:spacing w:before="120" w:after="0"/>
        <w:jc w:val="left"/>
        <w:rPr>
          <w:rFonts w:ascii="Times New Roman" w:hAnsi="Times New Roman"/>
          <w:sz w:val="20"/>
        </w:rPr>
      </w:pPr>
      <w:r>
        <w:rPr>
          <w:rFonts w:ascii="Times New Roman" w:hAnsi="Times New Roman"/>
          <w:sz w:val="20"/>
        </w:rPr>
        <w:t xml:space="preserve">(a) upon the death of Executive; </w:t>
      </w:r>
    </w:p>
    <w:p>
      <w:pPr>
        <w:pStyle w:val="TextBody"/>
        <w:bidi w:val="0"/>
        <w:spacing w:before="120" w:after="0"/>
        <w:jc w:val="left"/>
        <w:rPr>
          <w:rFonts w:ascii="Times New Roman" w:hAnsi="Times New Roman"/>
          <w:sz w:val="20"/>
        </w:rPr>
      </w:pPr>
      <w:r>
        <w:rPr>
          <w:rFonts w:ascii="Times New Roman" w:hAnsi="Times New Roman"/>
          <w:sz w:val="20"/>
        </w:rPr>
        <w:t xml:space="preserve">(b) upon the disability of Executive (as defined in Section 6.2) immediately upon notice from either party to the other; or </w:t>
      </w:r>
    </w:p>
    <w:p>
      <w:pPr>
        <w:pStyle w:val="TextBody"/>
        <w:bidi w:val="0"/>
        <w:spacing w:before="120" w:after="0"/>
        <w:jc w:val="left"/>
        <w:rPr>
          <w:rFonts w:ascii="Times New Roman" w:hAnsi="Times New Roman"/>
          <w:sz w:val="20"/>
        </w:rPr>
      </w:pPr>
      <w:r>
        <w:rPr>
          <w:rFonts w:ascii="Times New Roman" w:hAnsi="Times New Roman"/>
          <w:sz w:val="20"/>
        </w:rPr>
        <w:t xml:space="preserve">(c) for Cause, upon notice from Employer to Executive and opportunity to cure, or at such later time as such notice may specify. </w:t>
      </w:r>
    </w:p>
    <w:p>
      <w:pPr>
        <w:pStyle w:val="TextBody"/>
        <w:bidi w:val="0"/>
        <w:spacing w:before="240" w:after="0"/>
        <w:jc w:val="left"/>
        <w:rPr>
          <w:rFonts w:ascii="Times New Roman" w:hAnsi="Times New Roman"/>
          <w:b/>
          <w:sz w:val="20"/>
        </w:rPr>
      </w:pPr>
      <w:r>
        <w:rPr>
          <w:rFonts w:ascii="Times New Roman" w:hAnsi="Times New Roman"/>
          <w:b/>
          <w:sz w:val="20"/>
        </w:rPr>
        <w:t xml:space="preserve">6.2 DEFINITION OF DISABILITY </w:t>
      </w:r>
    </w:p>
    <w:p>
      <w:pPr>
        <w:pStyle w:val="TextBody"/>
        <w:bidi w:val="0"/>
        <w:spacing w:before="240" w:after="0"/>
        <w:jc w:val="left"/>
        <w:rPr>
          <w:rFonts w:ascii="Times New Roman" w:hAnsi="Times New Roman"/>
          <w:sz w:val="20"/>
        </w:rPr>
      </w:pPr>
      <w:r>
        <w:rPr>
          <w:rFonts w:ascii="Times New Roman" w:hAnsi="Times New Roman"/>
          <w:sz w:val="20"/>
        </w:rPr>
        <w:t>For purposes of Section 6.1, Executive will be deemed to have a </w:t>
      </w:r>
      <w:r>
        <w:rPr>
          <w:rFonts w:ascii="Times New Roman" w:hAnsi="Times New Roman"/>
          <w:b/>
          <w:sz w:val="20"/>
          <w:u w:val="single"/>
        </w:rPr>
        <w:t>disability</w:t>
      </w:r>
      <w:r>
        <w:rPr>
          <w:rFonts w:ascii="Times New Roman" w:hAnsi="Times New Roman"/>
          <w:sz w:val="20"/>
        </w:rPr>
        <w:t xml:space="preserve"> if, for physical or mental reasons, Executive is unable to perform the essential functions of Executives duties under this Agreement for 120 consecutive days, or 180 days during any twelve month period, as determined in accordance with this Section 6.2. The disability of Executive will be determined by a medical doctor selected by written agreement of Employer and Executive upon the request of either party by notice to the other. If Employer and Executive cannot agree on the selection of a medical doctor, each of them will select a medical doctor and the two medical doctors will select a third medical doctor who will determine whether Executive has a disability. The determination of the medical doctor(s) selected under this Section 6.2 will be binding on both parties. Executive must submit to a reasonable number of examinations by the medical doctor making the determination of disability under this Section 6.2, and Executive hereby authorizes the disclosure and release to Employer of such determination and all supporting medical records. If Executive is not legally competent, Executives legal guardian or duly authorized attorney-in-fact will act in Executives stead, under this Section 6.2, for the purposes of submitting Executive to the examinations, and providing the authorization of disclosure, required under this Section 6.2. </w:t>
      </w:r>
    </w:p>
    <w:p>
      <w:pPr>
        <w:pStyle w:val="TextBody"/>
        <w:bidi w:val="0"/>
        <w:spacing w:before="240" w:after="0"/>
        <w:jc w:val="left"/>
        <w:rPr>
          <w:rFonts w:ascii="Times New Roman" w:hAnsi="Times New Roman"/>
          <w:b/>
          <w:sz w:val="20"/>
        </w:rPr>
      </w:pPr>
      <w:r>
        <w:rPr>
          <w:rFonts w:ascii="Times New Roman" w:hAnsi="Times New Roman"/>
          <w:b/>
          <w:sz w:val="20"/>
        </w:rPr>
        <w:t xml:space="preserve">6.3 TERMINATION PAY </w:t>
      </w:r>
    </w:p>
    <w:p>
      <w:pPr>
        <w:pStyle w:val="TextBody"/>
        <w:bidi w:val="0"/>
        <w:spacing w:before="240" w:after="0"/>
        <w:jc w:val="left"/>
        <w:rPr>
          <w:rFonts w:ascii="Times New Roman" w:hAnsi="Times New Roman"/>
          <w:sz w:val="20"/>
        </w:rPr>
      </w:pPr>
      <w:r>
        <w:rPr>
          <w:rFonts w:ascii="Times New Roman" w:hAnsi="Times New Roman"/>
          <w:sz w:val="20"/>
        </w:rPr>
        <w:t xml:space="preserve">Effective upon the Termination Date, Employer will be obligated to pay Executive (or, in the event of his death, his designated beneficiary as defined below) only such compensation as is provided in this Section 6.3, and in settlement and complete release (in a form mutually acceptable to the parties) of all claims Executive may have against Employer. For purposes of this Section 6.3, Executives designated beneficiary will be such individual beneficiary or trust, located at such address, as Executive may designate by notice to Employer from time to time or, if Executive fails to give notice to Employer of such a beneficiary, Executives estate. Notwithstanding the preceding sentence, Employer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or entity purporting to act as Executives personal representative (or the trustee of a trust established by Executive) is duly authorized to act in that capacity, or to locate or attempt to locate any beneficiary, personal representative, 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Employer for Cause</w:t>
      </w:r>
      <w:r>
        <w:rPr>
          <w:rFonts w:ascii="Times New Roman" w:hAnsi="Times New Roman"/>
          <w:sz w:val="20"/>
        </w:rPr>
        <w:t xml:space="preserve">. If Employer terminates this Agreement for Cause, Executive will be entitled to receive any accrued Salary up to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by Employer without Cause or Termination upon Involuntary Termination</w:t>
      </w:r>
      <w:r>
        <w:rPr>
          <w:rFonts w:ascii="Times New Roman" w:hAnsi="Times New Roman"/>
          <w:sz w:val="20"/>
        </w:rPr>
        <w:t xml:space="preserve">. If Employer terminates this Agreement without Cause or this Agreement is terminated upon Involuntary Termination, Executive will be entitled to receive his Salary and Benefits, pursuant to such Benefit plans only as provided in such Benefit plans for the six (6) month period beginning on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upon Disability</w:t>
      </w:r>
      <w:r>
        <w:rPr>
          <w:rFonts w:ascii="Times New Roman" w:hAnsi="Times New Roman"/>
          <w:sz w:val="20"/>
        </w:rPr>
        <w:t xml:space="preserve">. If this Agreement is terminated by either party as a result of Executives disability, as determined under Section 6.2, Employer will pay Executive his Salary and Benefits, pursuant to such Benefit plans only as provided in such Benefit plans for the remainder of the calendar month during which such termination is effective and the six (6) consecutive months thereafter; provided, however, that the amount of any Salary received during such period shall be reduced by the amount of disability insurance benefits actually received by Executive under any disability insurance coverage furnished by Employer to Executive.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upon Death</w:t>
      </w:r>
      <w:r>
        <w:rPr>
          <w:rFonts w:ascii="Times New Roman" w:hAnsi="Times New Roman"/>
          <w:sz w:val="20"/>
        </w:rPr>
        <w:t xml:space="preserve">. If this Agreement is terminated because of Executives death, Executive will be entitled to receive his Salary through the end of the calendar month in which his death occurs.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Employment Handbook</w:t>
      </w:r>
      <w:r>
        <w:rPr>
          <w:rFonts w:ascii="Times New Roman" w:hAnsi="Times New Roman"/>
          <w:sz w:val="20"/>
        </w:rPr>
        <w:t xml:space="preserve">. The provisions of this Section 6.3 supersede and replace any severance benefits provided for in the Employers Employee Handbook, in effect on the date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NON-DISCLOSURE COVENANT; EMPLOYEE INVENTIONS </w:t>
      </w:r>
    </w:p>
    <w:p>
      <w:pPr>
        <w:pStyle w:val="TextBody"/>
        <w:bidi w:val="0"/>
        <w:spacing w:before="240" w:after="0"/>
        <w:jc w:val="left"/>
        <w:rPr>
          <w:rFonts w:ascii="Times New Roman" w:hAnsi="Times New Roman"/>
          <w:b/>
          <w:sz w:val="20"/>
        </w:rPr>
      </w:pPr>
      <w:r>
        <w:rPr>
          <w:rFonts w:ascii="Times New Roman" w:hAnsi="Times New Roman"/>
          <w:b/>
          <w:sz w:val="20"/>
        </w:rPr>
        <w:t xml:space="preserve">7.1 ACKNOWLEDGMENTS BY EXECUTIVE </w:t>
      </w:r>
    </w:p>
    <w:p>
      <w:pPr>
        <w:pStyle w:val="TextBody"/>
        <w:bidi w:val="0"/>
        <w:spacing w:before="240" w:after="0"/>
        <w:jc w:val="left"/>
        <w:rPr>
          <w:rFonts w:ascii="Times New Roman" w:hAnsi="Times New Roman"/>
          <w:sz w:val="20"/>
        </w:rPr>
      </w:pPr>
      <w:r>
        <w:rPr>
          <w:rFonts w:ascii="Times New Roman" w:hAnsi="Times New Roman"/>
          <w:sz w:val="20"/>
        </w:rPr>
        <w:t xml:space="preserve">Executive acknowledges that (a) during the Employment Period and as a part of his employment, Executive will be afforded access to Confidential Information; (b) public disclosure of such Confidential Information could have an adverse effect on Employer and its business; (c) because Executive possesses substantial technical expertise and skill with respect to Employers business, Employer desires to obtain exclusive ownership of each Employee Invention, and Employer will be at a substantial competitive disadvantage if it fails to acquire exclusive ownership of each Employee Invention; (d) Employer has required that Executive make the covenants in this Article VII as a condition to its purchase of Executives membership interest; and (e) the provisions of this Article VII are reasonable and necessary to prevent the improper use or disclosure of Confidential Information and to provide Employer with exclusive ownership of all Employee Inventions.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7.2 AGREEMENTS OF EXECUTIVE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compensation and benefits to be paid or provided to Executive by Employer under this Agreement, Executive covenants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During and following the Employment Period, Executive will hold in confidence the Confidential Information and will not disclose it to any person except with the specific prior written consent of Employer or except as otherwise expressly permitted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Any trade secrets of Employer will be entitled to all of the protections and benefits under applicable law. If any information that Employer deems to be a trade secret is found by a court of competent jurisdiction not to be a trade secret for purposes of this Agreement, such information may, nevertheless, be considered Confidential Information for purposes of this Agreement. Executive hereby waives any requirement that Employer submit proof of the economic value of any trade secret or post a bond or other security. </w:t>
      </w:r>
    </w:p>
    <w:p>
      <w:pPr>
        <w:pStyle w:val="TextBody"/>
        <w:bidi w:val="0"/>
        <w:spacing w:before="120" w:after="0"/>
        <w:jc w:val="left"/>
        <w:rPr>
          <w:rFonts w:ascii="Times New Roman" w:hAnsi="Times New Roman"/>
          <w:sz w:val="20"/>
        </w:rPr>
      </w:pPr>
      <w:r>
        <w:rPr>
          <w:rFonts w:ascii="Times New Roman" w:hAnsi="Times New Roman"/>
          <w:sz w:val="20"/>
        </w:rPr>
        <w:t>(iii) Executive will not remove from Employers premises (except to the extent such removal is for purposes of the performance of Executive s duties at home or while traveling, or except as otherwise specifically authorized by Employer) any document, record, notebook, plan, model, component, device, or computer software or code, whether embodied in a disk or in any other form that constitutes Confidential Information (collectively, the </w:t>
      </w:r>
      <w:r>
        <w:rPr>
          <w:rFonts w:ascii="Times New Roman" w:hAnsi="Times New Roman"/>
          <w:b/>
          <w:sz w:val="20"/>
          <w:u w:val="single"/>
        </w:rPr>
        <w:t>Proprietary Items</w:t>
      </w:r>
      <w:r>
        <w:rPr>
          <w:rFonts w:ascii="Times New Roman" w:hAnsi="Times New Roman"/>
          <w:sz w:val="20"/>
        </w:rPr>
        <w:t xml:space="preserve">). Executive recognizes that, as between Employer and Executive, all of the Proprietary Items, whether or not developed by Executive, are the exclusive property of Employer. Upon termination of this Agreement by either party, or upon the request of Employer during the Employment Period, Executive will return to Employer all of the Proprietary Items in Executives possession or subject to Executives control, and Executive shall not retain any copies, abstracts, sketches, or other physical embodiment of any of the Proprietary Items.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Employee Inventions</w:t>
      </w:r>
      <w:r>
        <w:rPr>
          <w:rFonts w:ascii="Times New Roman" w:hAnsi="Times New Roman"/>
          <w:sz w:val="20"/>
        </w:rPr>
        <w:t xml:space="preserve">. Each Employee Invention will belong exclusively to Employer. Executive acknowledges that all of Executives writing, and works of authorship, that constitute Employee Inventions are works made for hire and the property of Employer, including any copyrights, patents, or other intellectual property rights pertaining thereto. If it is determined that any such works are not works made for hire, Executive hereby assigns to Employer all of Executives right, title, and interest, including all rights of copyright, patent, and other intellectual property rights, to or in such Employee Inventions. Executive covenants that he will promptly: </w:t>
      </w:r>
    </w:p>
    <w:p>
      <w:pPr>
        <w:pStyle w:val="TextBody"/>
        <w:bidi w:val="0"/>
        <w:spacing w:before="120" w:after="0"/>
        <w:jc w:val="left"/>
        <w:rPr>
          <w:rFonts w:ascii="Times New Roman" w:hAnsi="Times New Roman"/>
          <w:sz w:val="20"/>
        </w:rPr>
      </w:pPr>
      <w:r>
        <w:rPr>
          <w:rFonts w:ascii="Times New Roman" w:hAnsi="Times New Roman"/>
          <w:sz w:val="20"/>
        </w:rPr>
        <w:t xml:space="preserve">(i) disclose to Employer in writing any Employee Invention; </w:t>
      </w:r>
    </w:p>
    <w:p>
      <w:pPr>
        <w:pStyle w:val="TextBody"/>
        <w:bidi w:val="0"/>
        <w:spacing w:before="120" w:after="0"/>
        <w:jc w:val="left"/>
        <w:rPr>
          <w:rFonts w:ascii="Times New Roman" w:hAnsi="Times New Roman"/>
          <w:sz w:val="20"/>
        </w:rPr>
      </w:pPr>
      <w:r>
        <w:rPr>
          <w:rFonts w:ascii="Times New Roman" w:hAnsi="Times New Roman"/>
          <w:sz w:val="20"/>
        </w:rPr>
        <w:t xml:space="preserve">(ii) assign to Employer or to a party designated by Employer, at Employers request and without additional compensation, all of Executives right to the Employee Invention for the United States and all foreign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execute and deliver to Employer such applications, assignments, and other documents as Employer may request in order to apply for and obtain patents or other registrations with respect to any Employee Invention in the United States and any foreign jurisdictions; </w:t>
      </w:r>
    </w:p>
    <w:p>
      <w:pPr>
        <w:pStyle w:val="TextBody"/>
        <w:bidi w:val="0"/>
        <w:spacing w:before="120" w:after="0"/>
        <w:jc w:val="left"/>
        <w:rPr>
          <w:rFonts w:ascii="Times New Roman" w:hAnsi="Times New Roman"/>
          <w:sz w:val="20"/>
        </w:rPr>
      </w:pPr>
      <w:r>
        <w:rPr>
          <w:rFonts w:ascii="Times New Roman" w:hAnsi="Times New Roman"/>
          <w:sz w:val="20"/>
        </w:rPr>
        <w:t xml:space="preserve">(iv) sign all other papers necessary to carry out the above obligations; and </w:t>
      </w:r>
    </w:p>
    <w:p>
      <w:pPr>
        <w:pStyle w:val="TextBody"/>
        <w:bidi w:val="0"/>
        <w:spacing w:before="120" w:after="0"/>
        <w:jc w:val="left"/>
        <w:rPr>
          <w:rFonts w:ascii="Times New Roman" w:hAnsi="Times New Roman"/>
          <w:sz w:val="20"/>
        </w:rPr>
      </w:pPr>
      <w:r>
        <w:rPr>
          <w:rFonts w:ascii="Times New Roman" w:hAnsi="Times New Roman"/>
          <w:sz w:val="20"/>
        </w:rPr>
        <w:t xml:space="preserve">(v) give testimony and render any other reasonable assistance, at the expense of Employer, in support of Employers rights to any Employee Invention. </w:t>
      </w:r>
    </w:p>
    <w:p>
      <w:pPr>
        <w:pStyle w:val="TextBody"/>
        <w:bidi w:val="0"/>
        <w:spacing w:before="240" w:after="0"/>
        <w:jc w:val="left"/>
        <w:rPr>
          <w:rFonts w:ascii="Times New Roman" w:hAnsi="Times New Roman"/>
          <w:b/>
          <w:sz w:val="20"/>
        </w:rPr>
      </w:pPr>
      <w:r>
        <w:rPr>
          <w:rFonts w:ascii="Times New Roman" w:hAnsi="Times New Roman"/>
          <w:b/>
          <w:sz w:val="20"/>
        </w:rPr>
        <w:t xml:space="preserve">7.3 DISPUTES OR CONTROVERSIES </w:t>
      </w:r>
    </w:p>
    <w:p>
      <w:pPr>
        <w:pStyle w:val="TextBody"/>
        <w:bidi w:val="0"/>
        <w:spacing w:before="240" w:after="0"/>
        <w:jc w:val="left"/>
        <w:rPr>
          <w:rFonts w:ascii="Times New Roman" w:hAnsi="Times New Roman"/>
          <w:sz w:val="20"/>
        </w:rPr>
      </w:pPr>
      <w:r>
        <w:rPr>
          <w:rFonts w:ascii="Times New Roman" w:hAnsi="Times New Roman"/>
          <w:sz w:val="20"/>
        </w:rPr>
        <w:t xml:space="preserve">Executive recognizes that should a dispute or controversy arising from or relating to this Agreement be submitted for adjudication to any court, arbitration panel, or other third party, the preservation of the secrecy of Confidential Information may be jeopardized. All pleadings, documents, testimony, and records relating to any such adjudication will be maintained in secrecy and will be available for inspection by Employer, Executive, and their respective attorneys and experts, who will agree, in advance and in writing, to receive and maintain all such information in secrecy, except as may be limited by them in writing.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NON-SOLICITATION </w:t>
      </w:r>
    </w:p>
    <w:p>
      <w:pPr>
        <w:pStyle w:val="TextBody"/>
        <w:bidi w:val="0"/>
        <w:spacing w:before="240" w:after="0"/>
        <w:jc w:val="left"/>
        <w:rPr>
          <w:rFonts w:ascii="Times New Roman" w:hAnsi="Times New Roman"/>
          <w:sz w:val="20"/>
        </w:rPr>
      </w:pPr>
      <w:r>
        <w:rPr>
          <w:rFonts w:ascii="Times New Roman" w:hAnsi="Times New Roman"/>
          <w:sz w:val="20"/>
        </w:rPr>
        <w:t xml:space="preserve">NON-SOLICITATION </w:t>
      </w:r>
    </w:p>
    <w:p>
      <w:pPr>
        <w:pStyle w:val="TextBody"/>
        <w:bidi w:val="0"/>
        <w:spacing w:before="240" w:after="0"/>
        <w:jc w:val="left"/>
        <w:rPr>
          <w:rFonts w:ascii="Times New Roman" w:hAnsi="Times New Roman"/>
          <w:sz w:val="20"/>
        </w:rPr>
      </w:pPr>
      <w:r>
        <w:rPr>
          <w:rFonts w:ascii="Times New Roman" w:hAnsi="Times New Roman"/>
          <w:sz w:val="20"/>
        </w:rPr>
        <w:t>In order to protect the legitimate business interests of the Employer and the goodwill of the Employer, Executive covenants and agrees that, during the Restricted Period, Executive shall not, directly or indirectly, either for itself or himself or any other person (i) induce or attempt to induce any employee of the Employer to leave the employ of the Employer, (ii) employ, or otherwise engage as an employee, independent or otherwise, any employee of the Employer in relation to the Competitive Business, or (iii) retain or otherwise hire any other consultant or independent contractor of the Employer in relation to the Competitive Business. The placing of general advertisements in newspapers, magazines or electronic media which are not specifically aimed at the Employer or employees of the Employer shall not, in itself, constitute a breach of this Section 8.1. The term </w:t>
      </w:r>
      <w:r>
        <w:rPr>
          <w:rFonts w:ascii="Times New Roman" w:hAnsi="Times New Roman"/>
          <w:b/>
          <w:sz w:val="20"/>
          <w:u w:val="single"/>
        </w:rPr>
        <w:t>Competitive Business</w:t>
      </w:r>
      <w:r>
        <w:rPr>
          <w:rFonts w:ascii="Times New Roman" w:hAnsi="Times New Roman"/>
          <w:sz w:val="20"/>
        </w:rPr>
        <w:t xml:space="preserve"> as used herein shall mean any business or venture that is directly competitive with the Employer and that involves semiconductors, including without limitation system-aware semiconductor integrated circuits, boards and services to enable purpose-built connectivity solutions for data-centric systems.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9.1 INJUNCTIVE RELIEF AND ADDITIONAL REMEDY </w:t>
      </w:r>
    </w:p>
    <w:p>
      <w:pPr>
        <w:pStyle w:val="TextBody"/>
        <w:bidi w:val="0"/>
        <w:spacing w:before="240" w:after="0"/>
        <w:jc w:val="left"/>
        <w:rPr>
          <w:rFonts w:ascii="Times New Roman" w:hAnsi="Times New Roman"/>
          <w:sz w:val="20"/>
        </w:rPr>
      </w:pPr>
      <w:r>
        <w:rPr>
          <w:rFonts w:ascii="Times New Roman" w:hAnsi="Times New Roman"/>
          <w:sz w:val="20"/>
        </w:rPr>
        <w:t xml:space="preserve">Executive acknowledges that the injury that would be suffered by Employer as a result of a breach of the provisions of this Agreement (including any provision of Article VII and Article VIII Article VIII) may be irreparable and that an award of monetary damages to Employer for such a breach may be an inadequate remedy. Consequently, Employer will have the right, in addition to any other rights it may have, to seek injunctive relief to restrain any breach or threatened breach or otherwise to specifically enforce any provision of this Agreement, and Employer will not be obligated to post bond or other security in seeking such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9.2 COVENANTS OF ARTICLES 7 AND 8 ARE ESSENTIAL AND INDEPENDENT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covenants by Executive in Article VII and Article VIII are essential elements of this Agreement, and without Executives agreement to comply with such covenants, Employer would not have entered into this Agreement or employed or continued the employment of Executive. Employer and Executive have independently consulted their respective counsel and have been advised in all respects concerning the reasonableness and propriety of such covenants, with specific regard to the nature of the business conducted by Employer. </w:t>
      </w:r>
    </w:p>
    <w:p>
      <w:pPr>
        <w:pStyle w:val="TextBody"/>
        <w:bidi w:val="0"/>
        <w:spacing w:before="240" w:after="0"/>
        <w:jc w:val="left"/>
        <w:rPr>
          <w:rFonts w:ascii="Times New Roman" w:hAnsi="Times New Roman"/>
          <w:sz w:val="20"/>
        </w:rPr>
      </w:pPr>
      <w:r>
        <w:rPr>
          <w:rFonts w:ascii="Times New Roman" w:hAnsi="Times New Roman"/>
          <w:sz w:val="20"/>
        </w:rPr>
        <w:t xml:space="preserve">Executives covenants in Article VII and Article VIII are independent covenants and the existence of any claim by Executive against Employer under this Agreement or otherwise, will not excuse Executives breach of any covenant in Article VII or Article VIII. </w:t>
      </w:r>
    </w:p>
    <w:p>
      <w:pPr>
        <w:pStyle w:val="TextBody"/>
        <w:bidi w:val="0"/>
        <w:spacing w:before="240" w:after="0"/>
        <w:jc w:val="left"/>
        <w:rPr>
          <w:rFonts w:ascii="Times New Roman" w:hAnsi="Times New Roman"/>
          <w:sz w:val="20"/>
        </w:rPr>
      </w:pPr>
      <w:r>
        <w:rPr>
          <w:rFonts w:ascii="Times New Roman" w:hAnsi="Times New Roman"/>
          <w:sz w:val="20"/>
        </w:rPr>
        <w:t xml:space="preserve">If Executives employment hereunder expires or is terminated, this Agreement will continue in full force and effect as is necessary or appropriate to enforce the covenants and agreements of Executive in Article VII and Article VIII. </w:t>
      </w:r>
    </w:p>
    <w:p>
      <w:pPr>
        <w:pStyle w:val="TextBody"/>
        <w:bidi w:val="0"/>
        <w:spacing w:before="240" w:after="0"/>
        <w:jc w:val="left"/>
        <w:rPr>
          <w:rFonts w:ascii="Times New Roman" w:hAnsi="Times New Roman"/>
          <w:b/>
          <w:sz w:val="20"/>
        </w:rPr>
      </w:pPr>
      <w:r>
        <w:rPr>
          <w:rFonts w:ascii="Times New Roman" w:hAnsi="Times New Roman"/>
          <w:b/>
          <w:sz w:val="20"/>
        </w:rPr>
        <w:t xml:space="preserve">9.3 REPRESENTATIONS AND WARRANTIES BY EXECUTIVE </w:t>
      </w:r>
    </w:p>
    <w:p>
      <w:pPr>
        <w:pStyle w:val="TextBody"/>
        <w:bidi w:val="0"/>
        <w:spacing w:before="240" w:after="0"/>
        <w:jc w:val="left"/>
        <w:rPr>
          <w:rFonts w:ascii="Times New Roman" w:hAnsi="Times New Roman"/>
          <w:sz w:val="20"/>
        </w:rPr>
      </w:pPr>
      <w:r>
        <w:rPr>
          <w:rFonts w:ascii="Times New Roman" w:hAnsi="Times New Roman"/>
          <w:sz w:val="20"/>
        </w:rPr>
        <w:t xml:space="preserve">Executive represents and warrants to Employer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 </w:t>
      </w:r>
    </w:p>
    <w:p>
      <w:pPr>
        <w:pStyle w:val="TextBody"/>
        <w:bidi w:val="0"/>
        <w:spacing w:before="240" w:after="0"/>
        <w:jc w:val="left"/>
        <w:rPr>
          <w:rFonts w:ascii="Times New Roman" w:hAnsi="Times New Roman"/>
          <w:b/>
          <w:sz w:val="20"/>
        </w:rPr>
      </w:pPr>
      <w:r>
        <w:rPr>
          <w:rFonts w:ascii="Times New Roman" w:hAnsi="Times New Roman"/>
          <w:b/>
          <w:sz w:val="20"/>
        </w:rPr>
        <w:t xml:space="preserve">9.4 OBLIGATIONS CONTINGENT ON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Employer hereunder, including its obligation to pay the compensation provided for herein, are contingent upon Executives performance of Executives obligations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9.5 WAIVER </w:t>
      </w:r>
    </w:p>
    <w:p>
      <w:pPr>
        <w:pStyle w:val="TextBody"/>
        <w:bidi w:val="0"/>
        <w:spacing w:before="240" w:after="0"/>
        <w:jc w:val="left"/>
        <w:rPr>
          <w:rFonts w:ascii="Times New Roman" w:hAnsi="Times New Roman"/>
          <w:sz w:val="20"/>
        </w:rPr>
      </w:pPr>
      <w:r>
        <w:rPr>
          <w:rFonts w:ascii="Times New Roman" w:hAnsi="Times New Roman"/>
          <w:sz w:val="20"/>
        </w:rPr>
        <w:t xml:space="preserve">The rights and remedies of the parties to this Agreement are cumulative and not alternative. Neither the failure nor any delay by either party in exercising any right, power, or privilege under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can be discharged by one party, in whole or in part, by a waiver or renunciation of the claim or right unless in writing signed by the other party; (b) no waiver that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9.6 BINDING EFFECT; DELEGATION OF DUTIES PROHIBITED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inure to the benefit of, and shall be binding upon, the parties hereto and their respective successors, assigns, heirs, and legal representatives, including any entity with which Employer may merge or consolidate or to which all or substantially all of its assets may be transferred. The duties and covenants of Executive under this Agreement, being personal, may not be delegated. </w:t>
      </w:r>
    </w:p>
    <w:p>
      <w:pPr>
        <w:pStyle w:val="TextBody"/>
        <w:bidi w:val="0"/>
        <w:spacing w:before="240" w:after="0"/>
        <w:jc w:val="left"/>
        <w:rPr>
          <w:rFonts w:ascii="Times New Roman" w:hAnsi="Times New Roman"/>
          <w:b/>
          <w:sz w:val="20"/>
        </w:rPr>
      </w:pPr>
      <w:r>
        <w:rPr>
          <w:rFonts w:ascii="Times New Roman" w:hAnsi="Times New Roman"/>
          <w:b/>
          <w:sz w:val="20"/>
        </w:rPr>
        <w:t xml:space="preserve">9.7 NOTICES </w:t>
      </w:r>
    </w:p>
    <w:p>
      <w:pPr>
        <w:pStyle w:val="TextBody"/>
        <w:bidi w:val="0"/>
        <w:spacing w:before="240" w:after="0"/>
        <w:jc w:val="left"/>
        <w:rPr>
          <w:rFonts w:ascii="Times New Roman" w:hAnsi="Times New Roman"/>
          <w:sz w:val="20"/>
        </w:rPr>
      </w:pPr>
      <w:r>
        <w:rPr>
          <w:rFonts w:ascii="Times New Roman" w:hAnsi="Times New Roman"/>
          <w:sz w:val="20"/>
        </w:rPr>
        <w:t xml:space="preserve">All notices, consents, waivers, and other communications under this Agreement must be in writing and will be deemed to have been duly given when (a) delivered by hand (with written confirmation of receipt), (b) sent by facsimile (with written confirmation of receipt), provided that a copy is mailed by registered mail, return receipt requested, or (c) when received by the addressee, if sent by a nationally recognized overnight delivery service (receipt requested), in each case to the appropriate addresses and facsimile numbers set forth below (or to such other addresses and facsimile numbers as a party may designate by notice to the other parties):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2241"/>
        <w:gridCol w:w="121"/>
        <w:gridCol w:w="7332"/>
      </w:tblGrid>
      <w:tr>
        <w:trPr/>
        <w:tc>
          <w:tcPr>
            <w:tcW w:w="2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32" w:type="dxa"/>
            <w:tcBorders/>
            <w:vAlign w:val="center"/>
          </w:tcPr>
          <w:p>
            <w:pPr>
              <w:pStyle w:val="TableContents"/>
              <w:bidi w:val="0"/>
              <w:spacing w:before="0" w:after="283"/>
              <w:jc w:val="left"/>
              <w:rPr>
                <w:sz w:val="4"/>
                <w:szCs w:val="4"/>
              </w:rPr>
            </w:pPr>
            <w:r>
              <w:rPr>
                <w:sz w:val="4"/>
                <w:szCs w:val="4"/>
              </w:rPr>
            </w:r>
          </w:p>
        </w:tc>
      </w:tr>
      <w:tr>
        <w:trPr/>
        <w:tc>
          <w:tcPr>
            <w:tcW w:w="2241" w:type="dxa"/>
            <w:tcBorders/>
          </w:tcPr>
          <w:p>
            <w:pPr>
              <w:pStyle w:val="TableContents"/>
              <w:bidi w:val="0"/>
              <w:spacing w:before="0" w:after="283"/>
              <w:jc w:val="left"/>
              <w:rPr/>
            </w:pPr>
            <w:r>
              <w:rPr/>
              <w:t>If to Employer:</w:t>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Astera Labs, Inc.</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2901 Tasman Drive, Suite 204</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Santa Clara, CA 95054</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Attention: Jitendra Mohan, Co-Founder and CEO</w:t>
            </w:r>
          </w:p>
        </w:tc>
      </w:tr>
      <w:tr>
        <w:trPr>
          <w:trHeight w:val="120" w:hRule="atLeast"/>
        </w:trPr>
        <w:tc>
          <w:tcPr>
            <w:tcW w:w="2241" w:type="dxa"/>
            <w:tcBorders/>
            <w:vAlign w:val="center"/>
          </w:tcPr>
          <w:p>
            <w:pPr>
              <w:pStyle w:val="TableContents"/>
              <w:bidi w:val="0"/>
              <w:spacing w:before="0" w:after="283"/>
              <w:jc w:val="left"/>
              <w:rPr>
                <w:sz w:val="4"/>
                <w:szCs w:val="4"/>
              </w:rPr>
            </w:pPr>
            <w:r>
              <w:rPr>
                <w:sz w:val="4"/>
                <w:szCs w:val="4"/>
              </w:rPr>
            </w:r>
          </w:p>
        </w:tc>
        <w:tc>
          <w:tcPr>
            <w:tcW w:w="7453" w:type="dxa"/>
            <w:gridSpan w:val="2"/>
            <w:tcBorders/>
            <w:vAlign w:val="center"/>
          </w:tcPr>
          <w:p>
            <w:pPr>
              <w:pStyle w:val="TableContents"/>
              <w:bidi w:val="0"/>
              <w:spacing w:before="0" w:after="283"/>
              <w:jc w:val="left"/>
              <w:rPr>
                <w:sz w:val="4"/>
                <w:szCs w:val="4"/>
              </w:rPr>
            </w:pPr>
            <w:r>
              <w:rPr>
                <w:sz w:val="4"/>
                <w:szCs w:val="4"/>
              </w:rPr>
            </w:r>
          </w:p>
        </w:tc>
      </w:tr>
      <w:tr>
        <w:trPr/>
        <w:tc>
          <w:tcPr>
            <w:tcW w:w="2241" w:type="dxa"/>
            <w:tcBorders/>
          </w:tcPr>
          <w:p>
            <w:pPr>
              <w:pStyle w:val="TableContents"/>
              <w:bidi w:val="0"/>
              <w:spacing w:before="0" w:after="283"/>
              <w:jc w:val="left"/>
              <w:rPr/>
            </w:pPr>
            <w:r>
              <w:rPr/>
              <w:t>With a copy to:</w:t>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Barry A. Carr, Esq.</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Carr &amp; Ferrell LLP</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120 Constitution Drive</w:t>
            </w:r>
          </w:p>
        </w:tc>
      </w:tr>
      <w:tr>
        <w:trPr/>
        <w:tc>
          <w:tcPr>
            <w:tcW w:w="22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Menlo Park, CA 94025</w:t>
            </w:r>
          </w:p>
        </w:tc>
      </w:tr>
      <w:tr>
        <w:trPr>
          <w:trHeight w:val="120" w:hRule="atLeast"/>
        </w:trPr>
        <w:tc>
          <w:tcPr>
            <w:tcW w:w="2241" w:type="dxa"/>
            <w:tcBorders/>
            <w:vAlign w:val="center"/>
          </w:tcPr>
          <w:p>
            <w:pPr>
              <w:pStyle w:val="TableContents"/>
              <w:bidi w:val="0"/>
              <w:spacing w:before="0" w:after="283"/>
              <w:jc w:val="left"/>
              <w:rPr>
                <w:sz w:val="4"/>
                <w:szCs w:val="4"/>
              </w:rPr>
            </w:pPr>
            <w:r>
              <w:rPr>
                <w:sz w:val="4"/>
                <w:szCs w:val="4"/>
              </w:rPr>
            </w:r>
          </w:p>
        </w:tc>
        <w:tc>
          <w:tcPr>
            <w:tcW w:w="7453" w:type="dxa"/>
            <w:gridSpan w:val="2"/>
            <w:tcBorders/>
            <w:vAlign w:val="center"/>
          </w:tcPr>
          <w:p>
            <w:pPr>
              <w:pStyle w:val="TableContents"/>
              <w:bidi w:val="0"/>
              <w:spacing w:before="0" w:after="283"/>
              <w:jc w:val="left"/>
              <w:rPr>
                <w:sz w:val="4"/>
                <w:szCs w:val="4"/>
              </w:rPr>
            </w:pPr>
            <w:r>
              <w:rPr>
                <w:sz w:val="4"/>
                <w:szCs w:val="4"/>
              </w:rPr>
            </w:r>
          </w:p>
        </w:tc>
      </w:tr>
      <w:tr>
        <w:trPr/>
        <w:tc>
          <w:tcPr>
            <w:tcW w:w="2241" w:type="dxa"/>
            <w:tcBorders/>
          </w:tcPr>
          <w:p>
            <w:pPr>
              <w:pStyle w:val="TableContents"/>
              <w:bidi w:val="0"/>
              <w:spacing w:before="0" w:after="283"/>
              <w:jc w:val="left"/>
              <w:rPr/>
            </w:pPr>
            <w:r>
              <w:rPr/>
              <w:t>If to Executive:</w:t>
            </w:r>
          </w:p>
        </w:tc>
        <w:tc>
          <w:tcPr>
            <w:tcW w:w="121" w:type="dxa"/>
            <w:tcBorders/>
            <w:vAlign w:val="bottom"/>
          </w:tcPr>
          <w:p>
            <w:pPr>
              <w:pStyle w:val="TableContents"/>
              <w:bidi w:val="0"/>
              <w:spacing w:before="0" w:after="283"/>
              <w:jc w:val="left"/>
              <w:rPr/>
            </w:pPr>
            <w:r>
              <w:rPr/>
              <w:t>  </w:t>
            </w:r>
          </w:p>
        </w:tc>
        <w:tc>
          <w:tcPr>
            <w:tcW w:w="7332" w:type="dxa"/>
            <w:tcBorders/>
          </w:tcPr>
          <w:p>
            <w:pPr>
              <w:pStyle w:val="TableContents"/>
              <w:bidi w:val="0"/>
              <w:spacing w:before="0" w:after="283"/>
              <w:jc w:val="left"/>
              <w:rPr/>
            </w:pPr>
            <w:r>
              <w:rPr/>
              <w:t>Mike Tate</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9.8 ENTIRE AGREEMENT; AMENDMENTS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the documents executed in connection herewith, contain the entire agreement between the parties with respect to the subject matter hereof and supersede all prior agreements and understandings, oral or written, between the parties hereto with respect to the subject matter hereof. This Agreement may not be amended orally, but only by an agreement in writing signed by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9.9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will be governed by the laws of the State of California without regard to conflicts of laws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9.10 JURISDICTION </w:t>
      </w:r>
    </w:p>
    <w:p>
      <w:pPr>
        <w:pStyle w:val="TextBody"/>
        <w:bidi w:val="0"/>
        <w:spacing w:before="240" w:after="0"/>
        <w:jc w:val="left"/>
        <w:rPr>
          <w:rFonts w:ascii="Times New Roman" w:hAnsi="Times New Roman"/>
          <w:sz w:val="20"/>
        </w:rPr>
      </w:pPr>
      <w:r>
        <w:rPr>
          <w:rFonts w:ascii="Times New Roman" w:hAnsi="Times New Roman"/>
          <w:sz w:val="20"/>
        </w:rPr>
        <w:t xml:space="preserve">Any action or proceeding seeking to enforce any provision of, or based on any right arising out of, this Agreement may be brought against either of the parties in the courts of the State of California, County of Santa Clara, or, if it has or can acquire jurisdiction, in the United States District Court for the Northern District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either party anywhere in the world. </w:t>
      </w:r>
    </w:p>
    <w:p>
      <w:pPr>
        <w:pStyle w:val="TextBody"/>
        <w:bidi w:val="0"/>
        <w:spacing w:before="240" w:after="0"/>
        <w:jc w:val="left"/>
        <w:rPr>
          <w:rFonts w:ascii="Times New Roman" w:hAnsi="Times New Roman"/>
          <w:b/>
          <w:sz w:val="20"/>
        </w:rPr>
      </w:pPr>
      <w:r>
        <w:rPr>
          <w:rFonts w:ascii="Times New Roman" w:hAnsi="Times New Roman"/>
          <w:b/>
          <w:sz w:val="20"/>
        </w:rPr>
        <w:t xml:space="preserve">9.11 SECTION HEADINGS, CONSTRUCTION </w:t>
      </w:r>
    </w:p>
    <w:p>
      <w:pPr>
        <w:pStyle w:val="TextBody"/>
        <w:bidi w:val="0"/>
        <w:spacing w:before="240" w:after="0"/>
        <w:jc w:val="left"/>
        <w:rPr>
          <w:rFonts w:ascii="Times New Roman" w:hAnsi="Times New Roman"/>
          <w:sz w:val="20"/>
        </w:rPr>
      </w:pPr>
      <w:r>
        <w:rPr>
          <w:rFonts w:ascii="Times New Roman" w:hAnsi="Times New Roman"/>
          <w:sz w:val="20"/>
        </w:rPr>
        <w:t xml:space="preserve">The headings of Sections in this Agreement are provided for convenience only and will not affect its construction or interpretation. All references to Section or Sections refer to the corresponding Section or Sections of this Agreement unless otherwise specified. All words used in this Agreement will be construed to be of such gender or number, as the circumstances require. Unless otherwise expressly provided, the word including does not limit the preceding words or terms. </w:t>
      </w:r>
    </w:p>
    <w:p>
      <w:pPr>
        <w:pStyle w:val="TextBody"/>
        <w:bidi w:val="0"/>
        <w:spacing w:before="240" w:after="0"/>
        <w:jc w:val="left"/>
        <w:rPr>
          <w:rFonts w:ascii="Times New Roman" w:hAnsi="Times New Roman"/>
          <w:b/>
          <w:sz w:val="20"/>
        </w:rPr>
      </w:pPr>
      <w:r>
        <w:rPr>
          <w:rFonts w:ascii="Times New Roman" w:hAnsi="Times New Roman"/>
          <w:b/>
          <w:sz w:val="20"/>
        </w:rPr>
        <w:t xml:space="preserve">9.12 SEVERABILITY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w:t>
      </w:r>
    </w:p>
    <w:p>
      <w:pPr>
        <w:pStyle w:val="TextBody"/>
        <w:bidi w:val="0"/>
        <w:spacing w:before="240" w:after="0"/>
        <w:jc w:val="left"/>
        <w:rPr>
          <w:rFonts w:ascii="Times New Roman" w:hAnsi="Times New Roman"/>
          <w:b/>
          <w:sz w:val="20"/>
        </w:rPr>
      </w:pPr>
      <w:r>
        <w:rPr>
          <w:rFonts w:ascii="Times New Roman" w:hAnsi="Times New Roman"/>
          <w:b/>
          <w:sz w:val="20"/>
        </w:rPr>
        <w:t xml:space="preserve">9.13 COUNTERPARTS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in one or more counterparts, each of which will be deemed to be an original copy of this Agreement and all of which, when taken together, will be deemed to constitute one and the same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9.14 WAIVER OF JURY TRIAL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HEREBY WAIVE A JURY TRIAL IN ANY LITIGATION WITH RESPECT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and delivered this Executive Employment Agreement as of the date above first written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6"/>
        <w:gridCol w:w="125"/>
        <w:gridCol w:w="1445"/>
        <w:gridCol w:w="125"/>
        <w:gridCol w:w="4004"/>
      </w:tblGrid>
      <w:tr>
        <w:trPr/>
        <w:tc>
          <w:tcPr>
            <w:tcW w:w="4506"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283"/>
              <w:jc w:val="left"/>
              <w:rPr/>
            </w:pPr>
            <w:r>
              <w:rPr/>
              <w:t>ASTERA LABS, INC.</w:t>
            </w:r>
          </w:p>
        </w:tc>
        <w:tc>
          <w:tcPr>
            <w:tcW w:w="125"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004" w:type="dxa"/>
            <w:tcBorders/>
          </w:tcPr>
          <w:p>
            <w:pPr>
              <w:pStyle w:val="TableContents"/>
              <w:bidi w:val="0"/>
              <w:spacing w:before="0" w:after="283"/>
              <w:jc w:val="left"/>
              <w:rPr/>
            </w:pPr>
            <w:r>
              <w:rPr/>
              <w:t>EXECUTIVE</w:t>
            </w:r>
          </w:p>
        </w:tc>
      </w:tr>
      <w:tr>
        <w:trPr>
          <w:trHeight w:val="240" w:hRule="atLeast"/>
        </w:trPr>
        <w:tc>
          <w:tcPr>
            <w:tcW w:w="4506" w:type="dxa"/>
            <w:tcBorders/>
            <w:vAlign w:val="center"/>
          </w:tcPr>
          <w:p>
            <w:pPr>
              <w:pStyle w:val="TableContents"/>
              <w:bidi w:val="0"/>
              <w:spacing w:before="0" w:after="283"/>
              <w:jc w:val="left"/>
              <w:rPr>
                <w:sz w:val="4"/>
                <w:szCs w:val="4"/>
              </w:rPr>
            </w:pPr>
            <w:r>
              <w:rPr>
                <w:sz w:val="4"/>
                <w:szCs w:val="4"/>
              </w:rPr>
            </w:r>
          </w:p>
        </w:tc>
        <w:tc>
          <w:tcPr>
            <w:tcW w:w="1570" w:type="dxa"/>
            <w:gridSpan w:val="2"/>
            <w:tcBorders/>
            <w:vAlign w:val="center"/>
          </w:tcPr>
          <w:p>
            <w:pPr>
              <w:pStyle w:val="TableContents"/>
              <w:bidi w:val="0"/>
              <w:spacing w:before="0" w:after="283"/>
              <w:jc w:val="left"/>
              <w:rPr>
                <w:sz w:val="4"/>
                <w:szCs w:val="4"/>
              </w:rPr>
            </w:pPr>
            <w:r>
              <w:rPr>
                <w:sz w:val="4"/>
                <w:szCs w:val="4"/>
              </w:rPr>
            </w:r>
          </w:p>
        </w:tc>
        <w:tc>
          <w:tcPr>
            <w:tcW w:w="4129" w:type="dxa"/>
            <w:gridSpan w:val="2"/>
            <w:tcBorders/>
            <w:vAlign w:val="center"/>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283"/>
              <w:jc w:val="left"/>
              <w:rPr/>
            </w:pPr>
            <w:r>
              <w:rPr/>
              <w:t xml:space="preserve">By: </w:t>
            </w:r>
            <w:r>
              <w:rPr>
                <w:u w:val="single"/>
              </w:rPr>
              <w:t>Jitendra Mohan                                                             </w:t>
            </w:r>
          </w:p>
        </w:tc>
        <w:tc>
          <w:tcPr>
            <w:tcW w:w="125"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004" w:type="dxa"/>
            <w:tcBorders/>
          </w:tcPr>
          <w:p>
            <w:pPr>
              <w:pStyle w:val="TableContents"/>
              <w:bidi w:val="0"/>
              <w:spacing w:before="0" w:after="283"/>
              <w:jc w:val="left"/>
              <w:rPr/>
            </w:pPr>
            <w:r>
              <w:rPr/>
              <w:t xml:space="preserve">By: </w:t>
            </w:r>
            <w:r>
              <w:rPr>
                <w:u w:val="single"/>
              </w:rPr>
              <w:t>Mike Tate                                                                  </w:t>
            </w:r>
          </w:p>
        </w:tc>
      </w:tr>
      <w:tr>
        <w:trPr>
          <w:trHeight w:val="240" w:hRule="atLeast"/>
        </w:trPr>
        <w:tc>
          <w:tcPr>
            <w:tcW w:w="4506" w:type="dxa"/>
            <w:tcBorders/>
            <w:vAlign w:val="center"/>
          </w:tcPr>
          <w:p>
            <w:pPr>
              <w:pStyle w:val="TableContents"/>
              <w:bidi w:val="0"/>
              <w:spacing w:before="0" w:after="283"/>
              <w:jc w:val="left"/>
              <w:rPr>
                <w:sz w:val="4"/>
                <w:szCs w:val="4"/>
              </w:rPr>
            </w:pPr>
            <w:r>
              <w:rPr>
                <w:sz w:val="4"/>
                <w:szCs w:val="4"/>
              </w:rPr>
            </w:r>
          </w:p>
        </w:tc>
        <w:tc>
          <w:tcPr>
            <w:tcW w:w="1570" w:type="dxa"/>
            <w:gridSpan w:val="2"/>
            <w:tcBorders/>
            <w:vAlign w:val="center"/>
          </w:tcPr>
          <w:p>
            <w:pPr>
              <w:pStyle w:val="TableContents"/>
              <w:bidi w:val="0"/>
              <w:spacing w:before="0" w:after="283"/>
              <w:jc w:val="left"/>
              <w:rPr>
                <w:sz w:val="4"/>
                <w:szCs w:val="4"/>
              </w:rPr>
            </w:pPr>
            <w:r>
              <w:rPr>
                <w:sz w:val="4"/>
                <w:szCs w:val="4"/>
              </w:rPr>
            </w:r>
          </w:p>
        </w:tc>
        <w:tc>
          <w:tcPr>
            <w:tcW w:w="4129" w:type="dxa"/>
            <w:gridSpan w:val="2"/>
            <w:tcBorders/>
            <w:vAlign w:val="center"/>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283"/>
              <w:jc w:val="left"/>
              <w:rPr/>
            </w:pPr>
            <w:r>
              <w:rPr/>
              <w:t>Name: Jitendra Mohan</w:t>
            </w:r>
          </w:p>
        </w:tc>
        <w:tc>
          <w:tcPr>
            <w:tcW w:w="125"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004" w:type="dxa"/>
            <w:tcBorders/>
          </w:tcPr>
          <w:p>
            <w:pPr>
              <w:pStyle w:val="TableContents"/>
              <w:bidi w:val="0"/>
              <w:spacing w:before="0" w:after="283"/>
              <w:jc w:val="left"/>
              <w:rPr/>
            </w:pPr>
            <w:r>
              <w:rPr/>
              <w:t>Name: Mike Tate</w:t>
            </w:r>
          </w:p>
        </w:tc>
      </w:tr>
      <w:tr>
        <w:trPr>
          <w:trHeight w:val="240" w:hRule="atLeast"/>
        </w:trPr>
        <w:tc>
          <w:tcPr>
            <w:tcW w:w="4506" w:type="dxa"/>
            <w:tcBorders/>
            <w:vAlign w:val="center"/>
          </w:tcPr>
          <w:p>
            <w:pPr>
              <w:pStyle w:val="TableContents"/>
              <w:bidi w:val="0"/>
              <w:spacing w:before="0" w:after="283"/>
              <w:jc w:val="left"/>
              <w:rPr>
                <w:sz w:val="4"/>
                <w:szCs w:val="4"/>
              </w:rPr>
            </w:pPr>
            <w:r>
              <w:rPr>
                <w:sz w:val="4"/>
                <w:szCs w:val="4"/>
              </w:rPr>
            </w:r>
          </w:p>
        </w:tc>
        <w:tc>
          <w:tcPr>
            <w:tcW w:w="1570" w:type="dxa"/>
            <w:gridSpan w:val="2"/>
            <w:tcBorders/>
            <w:vAlign w:val="center"/>
          </w:tcPr>
          <w:p>
            <w:pPr>
              <w:pStyle w:val="TableContents"/>
              <w:bidi w:val="0"/>
              <w:spacing w:before="0" w:after="283"/>
              <w:jc w:val="left"/>
              <w:rPr>
                <w:sz w:val="4"/>
                <w:szCs w:val="4"/>
              </w:rPr>
            </w:pPr>
            <w:r>
              <w:rPr>
                <w:sz w:val="4"/>
                <w:szCs w:val="4"/>
              </w:rPr>
            </w:r>
          </w:p>
        </w:tc>
        <w:tc>
          <w:tcPr>
            <w:tcW w:w="4129" w:type="dxa"/>
            <w:gridSpan w:val="2"/>
            <w:tcBorders/>
            <w:vAlign w:val="center"/>
          </w:tcPr>
          <w:p>
            <w:pPr>
              <w:pStyle w:val="TableContents"/>
              <w:bidi w:val="0"/>
              <w:spacing w:before="0" w:after="283"/>
              <w:jc w:val="left"/>
              <w:rPr>
                <w:sz w:val="4"/>
                <w:szCs w:val="4"/>
              </w:rPr>
            </w:pPr>
            <w:r>
              <w:rPr>
                <w:sz w:val="4"/>
                <w:szCs w:val="4"/>
              </w:rPr>
            </w:r>
          </w:p>
        </w:tc>
      </w:tr>
      <w:tr>
        <w:trPr/>
        <w:tc>
          <w:tcPr>
            <w:tcW w:w="4506" w:type="dxa"/>
            <w:tcBorders/>
          </w:tcPr>
          <w:p>
            <w:pPr>
              <w:pStyle w:val="TableContents"/>
              <w:bidi w:val="0"/>
              <w:spacing w:before="0" w:after="283"/>
              <w:jc w:val="left"/>
              <w:rPr/>
            </w:pPr>
            <w:r>
              <w:rPr/>
              <w:t>Title: Co-Founder and CEO</w:t>
            </w:r>
          </w:p>
        </w:tc>
        <w:tc>
          <w:tcPr>
            <w:tcW w:w="125" w:type="dxa"/>
            <w:tcBorders/>
            <w:vAlign w:val="bottom"/>
          </w:tcPr>
          <w:p>
            <w:pPr>
              <w:pStyle w:val="TableContents"/>
              <w:bidi w:val="0"/>
              <w:spacing w:before="0" w:after="283"/>
              <w:jc w:val="left"/>
              <w:rPr/>
            </w:pPr>
            <w:r>
              <w:rPr/>
              <w:t>  </w:t>
            </w:r>
          </w:p>
        </w:tc>
        <w:tc>
          <w:tcPr>
            <w:tcW w:w="1445"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4004" w:type="dxa"/>
            <w:tcBorders/>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Additional Compensation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Stock Options </w:t>
      </w:r>
    </w:p>
    <w:p>
      <w:pPr>
        <w:pStyle w:val="TextBody"/>
        <w:bidi w:val="0"/>
        <w:spacing w:before="240" w:after="0"/>
        <w:jc w:val="left"/>
        <w:rPr>
          <w:rFonts w:ascii="Times New Roman" w:hAnsi="Times New Roman"/>
          <w:sz w:val="20"/>
        </w:rPr>
      </w:pPr>
      <w:r>
        <w:rPr>
          <w:rFonts w:ascii="Times New Roman" w:hAnsi="Times New Roman"/>
          <w:sz w:val="20"/>
        </w:rPr>
        <w:t>Subject to the approval of the Employers Board of Directors (the </w:t>
      </w:r>
      <w:r>
        <w:rPr>
          <w:rFonts w:ascii="Times New Roman" w:hAnsi="Times New Roman"/>
          <w:b/>
          <w:sz w:val="20"/>
          <w:u w:val="single"/>
        </w:rPr>
        <w:t>Board</w:t>
      </w:r>
      <w:r>
        <w:rPr>
          <w:rFonts w:ascii="Times New Roman" w:hAnsi="Times New Roman"/>
          <w:sz w:val="20"/>
        </w:rPr>
        <w:t>), the Employer plans to issue you options to purchase 390,000 shares of the Employers common stock (the </w:t>
      </w:r>
      <w:r>
        <w:rPr>
          <w:rFonts w:ascii="Times New Roman" w:hAnsi="Times New Roman"/>
          <w:b/>
          <w:sz w:val="20"/>
          <w:u w:val="single"/>
        </w:rPr>
        <w:t>Options</w:t>
      </w:r>
      <w:r>
        <w:rPr>
          <w:rFonts w:ascii="Times New Roman" w:hAnsi="Times New Roman"/>
          <w:sz w:val="20"/>
        </w:rPr>
        <w:t xml:space="preserve">) pursuant to the Employers 2018 Equity Incentive Plan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you continue in service with the Employer, 56,875 (7/48th) of the Options will vest and become exercisable on September 1, 2020. Thereafter the Options will vest and become exercisable in equal monthly installments over the next 41 months following September 1, 2020, as long as you remain employed by the Employer during such period, such that at the end of the vesting period one hundred (100%) of all the Options shall become vested. The Options shall further be subject to the terms and conditions of subsection 3 below of this Exhibit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price for each of the Options will be equal to the per share fair market value of the Employers common stock on the date each such option is granted. The Options will be contingent upon your executing the Employers standard stock option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of (i) a Change of Control and (ii) the termination of Executives employment by the Company other than for Cause, or due to an Involuntary Termination, as of, or at any time within twelve (12) months of the effective date of a Change of Control (an </w:t>
            </w:r>
            <w:r>
              <w:rPr>
                <w:rFonts w:ascii="Times New Roman" w:hAnsi="Times New Roman"/>
                <w:b/>
                <w:sz w:val="20"/>
                <w:u w:val="single"/>
              </w:rPr>
              <w:t>Acceleration Event</w:t>
            </w:r>
            <w:r>
              <w:rPr>
                <w:rFonts w:ascii="Times New Roman" w:hAnsi="Times New Roman"/>
                <w:sz w:val="20"/>
              </w:rPr>
              <w:t xml:space="preserve">), then fifty percent (50%) of the outstanding Options held by the Executive that are not fully vested on the date of the Acceleration Event shall become immediately vested.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70"/>
        <w:gridCol w:w="120"/>
        <w:gridCol w:w="994"/>
        <w:gridCol w:w="120"/>
        <w:gridCol w:w="4401"/>
      </w:tblGrid>
      <w:tr>
        <w:trPr/>
        <w:tc>
          <w:tcPr>
            <w:tcW w:w="4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r>
      <w:tr>
        <w:trPr/>
        <w:tc>
          <w:tcPr>
            <w:tcW w:w="4570" w:type="dxa"/>
            <w:tcBorders/>
          </w:tcPr>
          <w:p>
            <w:pPr>
              <w:pStyle w:val="TableContents"/>
              <w:bidi w:val="0"/>
              <w:spacing w:before="0" w:after="283"/>
              <w:jc w:val="left"/>
              <w:rPr/>
            </w:pPr>
            <w:r>
              <w:rPr>
                <w:b/>
              </w:rPr>
              <w:t>Signature:</w:t>
            </w:r>
            <w:r>
              <w:rPr/>
              <w:t xml:space="preserve"> </w:t>
            </w:r>
            <w:r>
              <w:rPr>
                <w:u w:val="single"/>
              </w:rPr>
              <w:t>/s/ Jitendra Mohan           </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401" w:type="dxa"/>
            <w:tcBorders/>
          </w:tcPr>
          <w:p>
            <w:pPr>
              <w:pStyle w:val="TableContents"/>
              <w:bidi w:val="0"/>
              <w:spacing w:before="0" w:after="283"/>
              <w:jc w:val="left"/>
              <w:rPr/>
            </w:pPr>
            <w:r>
              <w:rPr>
                <w:b/>
              </w:rPr>
              <w:t>Signature:</w:t>
            </w:r>
            <w:r>
              <w:rPr/>
              <w:t xml:space="preserve"> </w:t>
            </w:r>
            <w:r>
              <w:rPr>
                <w:u w:val="single"/>
              </w:rPr>
              <w:t>/s/ Mike Tate            </w:t>
            </w:r>
          </w:p>
        </w:tc>
      </w:tr>
      <w:tr>
        <w:trPr/>
        <w:tc>
          <w:tcPr>
            <w:tcW w:w="4570" w:type="dxa"/>
            <w:tcBorders/>
          </w:tcPr>
          <w:p>
            <w:pPr>
              <w:pStyle w:val="TableContents"/>
              <w:bidi w:val="0"/>
              <w:spacing w:before="0" w:after="283"/>
              <w:jc w:val="left"/>
              <w:rPr/>
            </w:pPr>
            <w:r>
              <w:rPr/>
              <w:t>     </w:t>
            </w:r>
            <w:r>
              <w:rPr/>
              <w:t>Jitendra Mohan (Jul 21, 2020 11:49 PDT)</w:t>
            </w:r>
          </w:p>
        </w:tc>
        <w:tc>
          <w:tcPr>
            <w:tcW w:w="120" w:type="dxa"/>
            <w:tcBorders/>
            <w:vAlign w:val="bottom"/>
          </w:tcPr>
          <w:p>
            <w:pPr>
              <w:pStyle w:val="TableContents"/>
              <w:bidi w:val="0"/>
              <w:spacing w:before="0" w:after="283"/>
              <w:jc w:val="left"/>
              <w:rPr/>
            </w:pPr>
            <w:r>
              <w:rPr/>
              <w:t>  </w:t>
            </w:r>
          </w:p>
        </w:tc>
        <w:tc>
          <w:tcPr>
            <w:tcW w:w="9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401" w:type="dxa"/>
            <w:tcBorders/>
          </w:tcPr>
          <w:p>
            <w:pPr>
              <w:pStyle w:val="TableContents"/>
              <w:bidi w:val="0"/>
              <w:spacing w:before="0" w:after="283"/>
              <w:jc w:val="left"/>
              <w:rPr/>
            </w:pPr>
            <w:r>
              <w:rPr/>
              <w:t>     </w:t>
            </w:r>
            <w:r>
              <w:rPr/>
              <w:t>Mike Tate (Jul 21, 2020 12:18 PDT)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right"/>
        <w:rPr>
          <w:rFonts w:ascii="Times New Roman" w:hAnsi="Times New Roman"/>
          <w:b/>
          <w:sz w:val="20"/>
        </w:rPr>
      </w:pPr>
      <w:bookmarkStart w:id="57" w:name="d285484dex1011.htm"/>
      <w:bookmarkStart w:id="58" w:name="ksd285484dex1011"/>
      <w:bookmarkEnd w:id="57"/>
      <w:bookmarkEnd w:id="58"/>
      <w:r>
        <w:rPr>
          <w:rFonts w:ascii="Times New Roman" w:hAnsi="Times New Roman"/>
          <w:b/>
          <w:sz w:val="20"/>
        </w:rPr>
        <w:t xml:space="preserve">Exhibit 10.11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90800" cy="77152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2590800" cy="771525"/>
                    </a:xfrm>
                    <a:prstGeom prst="rect">
                      <a:avLst/>
                    </a:prstGeom>
                  </pic:spPr>
                </pic:pic>
              </a:graphicData>
            </a:graphic>
          </wp:inline>
        </w:drawing>
      </w:r>
      <w:r>
        <w:rPr/>
        <w:t xml:space="preserve"> </w:t>
      </w:r>
    </w:p>
    <w:tbl>
      <w:tblPr>
        <w:tblW w:w="5000" w:type="pct"/>
        <w:jc w:val="center"/>
        <w:tblInd w:w="0" w:type="dxa"/>
        <w:tblLayout w:type="fixed"/>
        <w:tblCellMar>
          <w:top w:w="0" w:type="dxa"/>
          <w:left w:w="0" w:type="dxa"/>
          <w:bottom w:w="0" w:type="dxa"/>
          <w:right w:w="0" w:type="dxa"/>
        </w:tblCellMar>
      </w:tblPr>
      <w:tblGrid>
        <w:gridCol w:w="2517"/>
        <w:gridCol w:w="124"/>
        <w:gridCol w:w="2325"/>
        <w:gridCol w:w="124"/>
        <w:gridCol w:w="2325"/>
        <w:gridCol w:w="124"/>
        <w:gridCol w:w="2666"/>
      </w:tblGrid>
      <w:tr>
        <w:trPr/>
        <w:tc>
          <w:tcPr>
            <w:tcW w:w="251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2517"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32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32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666" w:type="dxa"/>
            <w:tcBorders/>
          </w:tcPr>
          <w:p>
            <w:pPr>
              <w:pStyle w:val="TableContents"/>
              <w:bidi w:val="0"/>
              <w:spacing w:before="0" w:after="0"/>
              <w:jc w:val="left"/>
              <w:rPr>
                <w:rFonts w:ascii="Times New Roman" w:hAnsi="Times New Roman"/>
                <w:b/>
                <w:sz w:val="20"/>
              </w:rPr>
            </w:pPr>
            <w:r>
              <w:rPr>
                <w:rFonts w:ascii="Times New Roman" w:hAnsi="Times New Roman"/>
                <w:b/>
                <w:sz w:val="20"/>
              </w:rPr>
              <w:t>www.AsteraLabs.com</w:t>
            </w:r>
          </w:p>
          <w:p>
            <w:pPr>
              <w:pStyle w:val="TableContents"/>
              <w:bidi w:val="0"/>
              <w:spacing w:before="0" w:after="0"/>
              <w:jc w:val="left"/>
              <w:rPr>
                <w:rFonts w:ascii="Times New Roman" w:hAnsi="Times New Roman"/>
                <w:sz w:val="20"/>
              </w:rPr>
            </w:pPr>
            <w:r>
              <w:rPr>
                <w:rFonts w:ascii="Times New Roman" w:hAnsi="Times New Roman"/>
                <w:sz w:val="20"/>
              </w:rPr>
              <w:t>2901 Tasman Dr.,</w:t>
            </w:r>
          </w:p>
          <w:p>
            <w:pPr>
              <w:pStyle w:val="TableContents"/>
              <w:bidi w:val="0"/>
              <w:spacing w:before="0" w:after="0"/>
              <w:jc w:val="left"/>
              <w:rPr>
                <w:rFonts w:ascii="Times New Roman" w:hAnsi="Times New Roman"/>
                <w:sz w:val="20"/>
              </w:rPr>
            </w:pPr>
            <w:r>
              <w:rPr>
                <w:rFonts w:ascii="Times New Roman" w:hAnsi="Times New Roman"/>
                <w:sz w:val="20"/>
              </w:rPr>
              <w:t>Suite 204</w:t>
            </w:r>
          </w:p>
          <w:p>
            <w:pPr>
              <w:pStyle w:val="TableContents"/>
              <w:bidi w:val="0"/>
              <w:spacing w:before="0" w:after="20"/>
              <w:jc w:val="left"/>
              <w:rPr>
                <w:rFonts w:ascii="Times New Roman" w:hAnsi="Times New Roman"/>
                <w:sz w:val="20"/>
              </w:rPr>
            </w:pPr>
            <w:r>
              <w:rPr>
                <w:rFonts w:ascii="Times New Roman" w:hAnsi="Times New Roman"/>
                <w:sz w:val="20"/>
              </w:rPr>
              <w:t>Santa Clara, CA 95054</w:t>
            </w:r>
          </w:p>
        </w:tc>
      </w:tr>
    </w:tbl>
    <w:p>
      <w:pPr>
        <w:pStyle w:val="TextBody"/>
        <w:bidi w:val="0"/>
        <w:spacing w:before="240" w:after="0"/>
        <w:jc w:val="left"/>
        <w:rPr>
          <w:rFonts w:ascii="Times New Roman" w:hAnsi="Times New Roman"/>
          <w:sz w:val="20"/>
        </w:rPr>
      </w:pPr>
      <w:r>
        <w:rPr>
          <w:rFonts w:ascii="Times New Roman" w:hAnsi="Times New Roman"/>
          <w:sz w:val="20"/>
        </w:rPr>
        <w:t xml:space="preserve">2/7/2022 </w:t>
      </w:r>
    </w:p>
    <w:p>
      <w:pPr>
        <w:pStyle w:val="TextBody"/>
        <w:bidi w:val="0"/>
        <w:spacing w:before="240" w:after="0"/>
        <w:jc w:val="left"/>
        <w:rPr>
          <w:rFonts w:ascii="Times New Roman" w:hAnsi="Times New Roman"/>
          <w:sz w:val="20"/>
        </w:rPr>
      </w:pPr>
      <w:r>
        <w:rPr>
          <w:rFonts w:ascii="Times New Roman" w:hAnsi="Times New Roman"/>
          <w:sz w:val="20"/>
        </w:rPr>
        <w:t xml:space="preserve">Philip Mazzara </w:t>
      </w:r>
    </w:p>
    <w:p>
      <w:pPr>
        <w:pStyle w:val="TextBody"/>
        <w:bidi w:val="0"/>
        <w:spacing w:before="240" w:after="0"/>
        <w:jc w:val="left"/>
        <w:rPr>
          <w:rFonts w:ascii="Times New Roman" w:hAnsi="Times New Roman"/>
          <w:b/>
          <w:sz w:val="20"/>
        </w:rPr>
      </w:pPr>
      <w:r>
        <w:rPr>
          <w:rFonts w:ascii="Times New Roman" w:hAnsi="Times New Roman"/>
          <w:b/>
          <w:sz w:val="20"/>
        </w:rPr>
        <w:t xml:space="preserve">Re: Employment Offer </w:t>
      </w:r>
    </w:p>
    <w:p>
      <w:pPr>
        <w:pStyle w:val="TextBody"/>
        <w:bidi w:val="0"/>
        <w:spacing w:before="240" w:after="0"/>
        <w:jc w:val="left"/>
        <w:rPr>
          <w:rFonts w:ascii="Times New Roman" w:hAnsi="Times New Roman"/>
          <w:sz w:val="20"/>
        </w:rPr>
      </w:pPr>
      <w:r>
        <w:rPr>
          <w:rFonts w:ascii="Times New Roman" w:hAnsi="Times New Roman"/>
          <w:sz w:val="20"/>
        </w:rPr>
        <w:t xml:space="preserve">Dear Philip, </w:t>
      </w:r>
    </w:p>
    <w:p>
      <w:pPr>
        <w:pStyle w:val="TextBody"/>
        <w:bidi w:val="0"/>
        <w:spacing w:before="240" w:after="0"/>
        <w:jc w:val="left"/>
        <w:rPr>
          <w:rFonts w:ascii="Times New Roman" w:hAnsi="Times New Roman"/>
          <w:sz w:val="20"/>
        </w:rPr>
      </w:pPr>
      <w:r>
        <w:rPr>
          <w:rFonts w:ascii="Times New Roman" w:hAnsi="Times New Roman"/>
          <w:sz w:val="20"/>
        </w:rPr>
        <w:t>This will confirm the terms under which Astera Labs, Inc., a Delaware corporation (the </w:t>
      </w:r>
      <w:r>
        <w:rPr>
          <w:rFonts w:ascii="Times New Roman" w:hAnsi="Times New Roman"/>
          <w:b/>
          <w:sz w:val="20"/>
          <w:u w:val="single"/>
        </w:rPr>
        <w:t>Company</w:t>
      </w:r>
      <w:r>
        <w:rPr>
          <w:rFonts w:ascii="Times New Roman" w:hAnsi="Times New Roman"/>
          <w:sz w:val="20"/>
        </w:rPr>
        <w:t xml:space="preserve">) has made you an offer of employment contingent upon a satisfactory review of your references and a background check.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Position and Duties</w:t>
      </w:r>
      <w:r>
        <w:rPr>
          <w:rFonts w:ascii="Times New Roman" w:hAnsi="Times New Roman"/>
          <w:sz w:val="20"/>
        </w:rPr>
        <w:t xml:space="preserve">. You will serve as a Vice President - Legal and shall perform such duties as are ordinary, customary and necessary in such role. You will report directly to the Chief Business Officer, although such reporting is subject to change from time to time. Your start date with the Company shall be on or before 2/9/2022. You shall devote your full business time, skill and attention to the performance of your duties on behalf of the Company. You will devote your efforts to the interests of the Company as set forth in the preceding sentence and will not engage in other employment or in any activities detrimental to the interests of the Company without the prior written consent of the Company. Although your duties may include occasional travel on behalf of the Company, your primary duties will be performed at the Companys headquarters.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Proof of Right to Work; Assignment Agreement</w:t>
      </w:r>
      <w:r>
        <w:rPr>
          <w:rFonts w:ascii="Times New Roman" w:hAnsi="Times New Roman"/>
          <w:sz w:val="20"/>
        </w:rPr>
        <w:t>. On your first day of work you will be required to prove your eligibility for employment under the Immigration and Reform Control Act of 1986, as well as to sign and comply with the Companys standard employee confidential information and invention assignment agreement (</w:t>
      </w:r>
      <w:r>
        <w:rPr>
          <w:rFonts w:ascii="Times New Roman" w:hAnsi="Times New Roman"/>
          <w:b/>
          <w:sz w:val="20"/>
          <w:u w:val="single"/>
        </w:rPr>
        <w:t>CIIA</w:t>
      </w:r>
      <w:r>
        <w:rPr>
          <w:rFonts w:ascii="Times New Roman" w:hAnsi="Times New Roman"/>
          <w:sz w:val="20"/>
        </w:rPr>
        <w:t xml:space="preserve">) which requires, among other provisions, the assignment to the Company of proprietary rights to any invention made during your employment at the Company and non-disclosure of confidential information.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Compensation and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u w:val="single"/>
        </w:rPr>
        <w:t>a.</w:t>
      </w:r>
      <w:r>
        <w:rPr>
          <w:rFonts w:ascii="Times New Roman" w:hAnsi="Times New Roman"/>
          <w:b/>
          <w:sz w:val="20"/>
        </w:rPr>
        <w:t xml:space="preserve"> </w:t>
      </w:r>
      <w:r>
        <w:rPr>
          <w:rFonts w:ascii="Times New Roman" w:hAnsi="Times New Roman"/>
          <w:b/>
          <w:sz w:val="20"/>
          <w:u w:val="single"/>
        </w:rPr>
        <w:t>Salary and Performance Bonus</w:t>
      </w:r>
      <w:r>
        <w:rPr>
          <w:rFonts w:ascii="Times New Roman" w:hAnsi="Times New Roman"/>
          <w:sz w:val="20"/>
        </w:rPr>
        <w:t xml:space="preserve">. The Company agrees to pay you an annual salary of $300,000 payable as earned in accordance with the Companys customary payroll practices (but no less than monthly). Your salary shall be reviewed by the Company for possible increases from time-to-time. Additionally, you will be eligible for a performance based annual bonus target of $150,000.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087"/>
        <w:gridCol w:w="100"/>
        <w:gridCol w:w="1650"/>
        <w:gridCol w:w="100"/>
        <w:gridCol w:w="1721"/>
        <w:gridCol w:w="130"/>
        <w:gridCol w:w="2417"/>
      </w:tblGrid>
      <w:tr>
        <w:trPr/>
        <w:tc>
          <w:tcPr>
            <w:tcW w:w="408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4087" w:type="dxa"/>
            <w:tcBorders/>
          </w:tcPr>
          <w:p>
            <w:pPr>
              <w:pStyle w:val="TableContents"/>
              <w:bidi w:val="0"/>
              <w:spacing w:before="0" w:after="283"/>
              <w:jc w:val="left"/>
              <w:rPr/>
            </w:pPr>
            <w:r>
              <w:rPr/>
              <w:drawing>
                <wp:inline distT="0" distB="0" distL="0" distR="0">
                  <wp:extent cx="2590800" cy="77152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2590800" cy="771525"/>
                          </a:xfrm>
                          <a:prstGeom prst="rect">
                            <a:avLst/>
                          </a:prstGeom>
                        </pic:spPr>
                      </pic:pic>
                    </a:graphicData>
                  </a:graphic>
                </wp:inline>
              </w:drawing>
            </w:r>
            <w:r>
              <w:rPr/>
              <w:t xml:space="preserve"> </w:t>
            </w:r>
          </w:p>
        </w:tc>
        <w:tc>
          <w:tcPr>
            <w:tcW w:w="100" w:type="dxa"/>
            <w:tcBorders/>
            <w:vAlign w:val="bottom"/>
          </w:tcPr>
          <w:p>
            <w:pPr>
              <w:pStyle w:val="TableContents"/>
              <w:bidi w:val="0"/>
              <w:spacing w:before="0" w:after="283"/>
              <w:jc w:val="left"/>
              <w:rPr/>
            </w:pPr>
            <w:r>
              <w:rPr/>
              <w:t> </w:t>
            </w:r>
          </w:p>
        </w:tc>
        <w:tc>
          <w:tcPr>
            <w:tcW w:w="165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417"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www.AsteraLabs.com</w:t>
            </w:r>
          </w:p>
          <w:p>
            <w:pPr>
              <w:pStyle w:val="TableContents"/>
              <w:bidi w:val="0"/>
              <w:spacing w:before="0" w:after="0"/>
              <w:jc w:val="left"/>
              <w:rPr>
                <w:rFonts w:ascii="Times New Roman" w:hAnsi="Times New Roman"/>
                <w:sz w:val="20"/>
              </w:rPr>
            </w:pPr>
            <w:r>
              <w:rPr>
                <w:rFonts w:ascii="Times New Roman" w:hAnsi="Times New Roman"/>
                <w:sz w:val="20"/>
              </w:rPr>
              <w:t>2901 Tasman Dr.,</w:t>
            </w:r>
          </w:p>
          <w:p>
            <w:pPr>
              <w:pStyle w:val="TableContents"/>
              <w:bidi w:val="0"/>
              <w:spacing w:before="0" w:after="0"/>
              <w:jc w:val="left"/>
              <w:rPr>
                <w:rFonts w:ascii="Times New Roman" w:hAnsi="Times New Roman"/>
                <w:sz w:val="20"/>
              </w:rPr>
            </w:pPr>
            <w:r>
              <w:rPr>
                <w:rFonts w:ascii="Times New Roman" w:hAnsi="Times New Roman"/>
                <w:sz w:val="20"/>
              </w:rPr>
              <w:t>Suite 204</w:t>
            </w:r>
          </w:p>
          <w:p>
            <w:pPr>
              <w:pStyle w:val="TableContents"/>
              <w:bidi w:val="0"/>
              <w:spacing w:before="0" w:after="20"/>
              <w:jc w:val="left"/>
              <w:rPr>
                <w:rFonts w:ascii="Times New Roman" w:hAnsi="Times New Roman"/>
                <w:sz w:val="20"/>
              </w:rPr>
            </w:pPr>
            <w:r>
              <w:rPr>
                <w:rFonts w:ascii="Times New Roman" w:hAnsi="Times New Roman"/>
                <w:sz w:val="20"/>
              </w:rPr>
              <w:t>Santa Clara, CA 95054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u w:val="single"/>
        </w:rPr>
        <w:t>b.</w:t>
      </w:r>
      <w:r>
        <w:rPr>
          <w:rFonts w:ascii="Times New Roman" w:hAnsi="Times New Roman"/>
          <w:b/>
          <w:sz w:val="20"/>
        </w:rPr>
        <w:t xml:space="preserve"> </w:t>
      </w:r>
      <w:r>
        <w:rPr>
          <w:rFonts w:ascii="Times New Roman" w:hAnsi="Times New Roman"/>
          <w:b/>
          <w:sz w:val="20"/>
          <w:u w:val="single"/>
        </w:rPr>
        <w:t>Stock Options</w:t>
      </w:r>
      <w:r>
        <w:rPr>
          <w:rFonts w:ascii="Times New Roman" w:hAnsi="Times New Roman"/>
          <w:sz w:val="20"/>
        </w:rPr>
        <w:t>. Subject to the approval of the Companys Board of Directors (the </w:t>
      </w:r>
      <w:r>
        <w:rPr>
          <w:rFonts w:ascii="Times New Roman" w:hAnsi="Times New Roman"/>
          <w:b/>
          <w:sz w:val="20"/>
          <w:u w:val="single"/>
        </w:rPr>
        <w:t>Board</w:t>
      </w:r>
      <w:r>
        <w:rPr>
          <w:rFonts w:ascii="Times New Roman" w:hAnsi="Times New Roman"/>
          <w:sz w:val="20"/>
        </w:rPr>
        <w:t xml:space="preserve">), the Company plans to issue you options to purchase 500,000 shares of the Companys common stock pursuant to the Companys 2018 Equity Incentive Plan as follows: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 initial option to purchase 500,000 shares of the Companys common stock (the </w:t>
      </w:r>
      <w:r>
        <w:rPr>
          <w:rFonts w:ascii="Times New Roman" w:hAnsi="Times New Roman"/>
          <w:b/>
          <w:sz w:val="20"/>
          <w:u w:val="single"/>
        </w:rPr>
        <w:t>Initial Option</w:t>
      </w:r>
      <w:r>
        <w:rPr>
          <w:rFonts w:ascii="Times New Roman" w:hAnsi="Times New Roman"/>
          <w:sz w:val="20"/>
        </w:rPr>
        <w:t xml:space="preserve">). So long as you continue in service with the Company, the Initial Option will vest and become exercisable as follows: 25% of such amount shall become vested on the one (1) year anniversary of your start date with the Company, with the remaining shares becoming vested in equal monthly installments over 36 months following such one year anniversary, as long as you remain employed by the Company during such period. The Initial Option shall further be subject to the terms and conditions of subsection 3(b)(ii) hereof.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per share price for each of the Initial Option and the Refresh Option will be equal to the per share fair market value of the common stock on the date each such option is granted. Each of the Initial Option and the Refresh Option will be contingent upon your executing the Companys standard stock option agreement. </w:t>
      </w:r>
    </w:p>
    <w:p>
      <w:pPr>
        <w:pStyle w:val="TextBody"/>
        <w:bidi w:val="0"/>
        <w:spacing w:before="120" w:after="0"/>
        <w:jc w:val="left"/>
        <w:rPr>
          <w:rFonts w:ascii="Times New Roman" w:hAnsi="Times New Roman"/>
          <w:sz w:val="20"/>
        </w:rPr>
      </w:pPr>
      <w:r>
        <w:rPr>
          <w:rFonts w:ascii="Times New Roman" w:hAnsi="Times New Roman"/>
          <w:b/>
          <w:sz w:val="20"/>
          <w:u w:val="single"/>
        </w:rPr>
        <w:t>d.</w:t>
      </w:r>
      <w:r>
        <w:rPr>
          <w:rFonts w:ascii="Times New Roman" w:hAnsi="Times New Roman"/>
          <w:b/>
          <w:sz w:val="20"/>
        </w:rPr>
        <w:t xml:space="preserve"> </w:t>
      </w:r>
      <w:r>
        <w:rPr>
          <w:rFonts w:ascii="Times New Roman" w:hAnsi="Times New Roman"/>
          <w:b/>
          <w:sz w:val="20"/>
          <w:u w:val="single"/>
        </w:rPr>
        <w:t>Benefits</w:t>
      </w:r>
      <w:r>
        <w:rPr>
          <w:rFonts w:ascii="Times New Roman" w:hAnsi="Times New Roman"/>
          <w:sz w:val="20"/>
        </w:rPr>
        <w:t xml:space="preserve">. You will be eligible to participate in regular health insurance, vacation, and other employee benefit plans established by the Company for its employees from time to time on substantially the same terms as are made available to employees of the Company generally. </w:t>
      </w:r>
    </w:p>
    <w:p>
      <w:pPr>
        <w:pStyle w:val="TextBody"/>
        <w:bidi w:val="0"/>
        <w:spacing w:before="120" w:after="0"/>
        <w:jc w:val="left"/>
        <w:rPr>
          <w:rFonts w:ascii="Times New Roman" w:hAnsi="Times New Roman"/>
          <w:sz w:val="20"/>
        </w:rPr>
      </w:pPr>
      <w:r>
        <w:rPr>
          <w:rFonts w:ascii="Times New Roman" w:hAnsi="Times New Roman"/>
          <w:b/>
          <w:sz w:val="20"/>
          <w:u w:val="single"/>
        </w:rPr>
        <w:t>e.</w:t>
      </w:r>
      <w:r>
        <w:rPr>
          <w:rFonts w:ascii="Times New Roman" w:hAnsi="Times New Roman"/>
          <w:b/>
          <w:sz w:val="20"/>
        </w:rPr>
        <w:t xml:space="preserve"> </w:t>
      </w:r>
      <w:r>
        <w:rPr>
          <w:rFonts w:ascii="Times New Roman" w:hAnsi="Times New Roman"/>
          <w:b/>
          <w:sz w:val="20"/>
          <w:u w:val="single"/>
        </w:rPr>
        <w:t>Expenses</w:t>
      </w:r>
      <w:r>
        <w:rPr>
          <w:rFonts w:ascii="Times New Roman" w:hAnsi="Times New Roman"/>
          <w:sz w:val="20"/>
        </w:rPr>
        <w:t xml:space="preserve">. The Company will reimburse you for all reasonable and necessary expenses incurred by you in connection with the Companys business, in accordance with any applicable policy established by the Board from time to time.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At-Will Employment</w:t>
      </w:r>
      <w:r>
        <w:rPr>
          <w:rFonts w:ascii="Times New Roman" w:hAnsi="Times New Roman"/>
          <w:sz w:val="20"/>
        </w:rPr>
        <w:t xml:space="preserve">. You will be an at will employee of the Company, which means that the employment relationship can be terminated by either you or the Company for any reason, at any time, with or without prior notice and with or without cause. Any statements or representations to the contrary should be regarded by you as ineffective. Any modification or change in the at-will employment status may only occur by way of a written employment agreement signed by you and an authorized member of the Board.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Other Agreements</w:t>
      </w:r>
      <w:r>
        <w:rPr>
          <w:rFonts w:ascii="Times New Roman" w:hAnsi="Times New Roman"/>
          <w:sz w:val="20"/>
        </w:rPr>
        <w:t xml:space="preserve">. By signing this offer letter, you represent to the Company that either (a) you are not bound by any other agreement or agreements (i.e., a non-solicitation or non-compete agreement with a former employer) which would inhibit or limit in any way your ability to perform the duties required by this position or to contact, solicit, or hire any other individual or entity to work for or contract with the Company or (b) you have provided copies of any such agreements to the Company prior to signing this offer letter.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Miscellaneous</w:t>
      </w:r>
      <w:r>
        <w:rPr>
          <w:rFonts w:ascii="Times New Roman" w:hAnsi="Times New Roman"/>
          <w:sz w:val="20"/>
        </w:rPr>
        <w:t xml:space="preserve">. This offer letter constitutes the entire agreement between you and the Company regarding the terms and conditions of your employment, and they supersede all prior negotiations, representations, or agreements between you and the Company. The provisions of this agreement may only be modified by a document signed by you and the Company. This offer letter will be governed by the laws of the State of California.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087"/>
        <w:gridCol w:w="100"/>
        <w:gridCol w:w="1650"/>
        <w:gridCol w:w="100"/>
        <w:gridCol w:w="1721"/>
        <w:gridCol w:w="130"/>
        <w:gridCol w:w="2417"/>
      </w:tblGrid>
      <w:tr>
        <w:trPr/>
        <w:tc>
          <w:tcPr>
            <w:tcW w:w="408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4087" w:type="dxa"/>
            <w:tcBorders/>
          </w:tcPr>
          <w:p>
            <w:pPr>
              <w:pStyle w:val="TableContents"/>
              <w:bidi w:val="0"/>
              <w:spacing w:before="0" w:after="283"/>
              <w:jc w:val="left"/>
              <w:rPr/>
            </w:pPr>
            <w:r>
              <w:rPr/>
              <w:drawing>
                <wp:inline distT="0" distB="0" distL="0" distR="0">
                  <wp:extent cx="2590800" cy="77152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2590800" cy="771525"/>
                          </a:xfrm>
                          <a:prstGeom prst="rect">
                            <a:avLst/>
                          </a:prstGeom>
                        </pic:spPr>
                      </pic:pic>
                    </a:graphicData>
                  </a:graphic>
                </wp:inline>
              </w:drawing>
            </w:r>
            <w:r>
              <w:rPr/>
              <w:t xml:space="preserve"> </w:t>
            </w:r>
          </w:p>
        </w:tc>
        <w:tc>
          <w:tcPr>
            <w:tcW w:w="100" w:type="dxa"/>
            <w:tcBorders/>
            <w:vAlign w:val="bottom"/>
          </w:tcPr>
          <w:p>
            <w:pPr>
              <w:pStyle w:val="TableContents"/>
              <w:bidi w:val="0"/>
              <w:spacing w:before="0" w:after="283"/>
              <w:jc w:val="left"/>
              <w:rPr/>
            </w:pPr>
            <w:r>
              <w:rPr/>
              <w:t> </w:t>
            </w:r>
          </w:p>
        </w:tc>
        <w:tc>
          <w:tcPr>
            <w:tcW w:w="165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417"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www.AsteraLabs.com</w:t>
            </w:r>
          </w:p>
          <w:p>
            <w:pPr>
              <w:pStyle w:val="TableContents"/>
              <w:bidi w:val="0"/>
              <w:spacing w:before="0" w:after="0"/>
              <w:jc w:val="left"/>
              <w:rPr>
                <w:rFonts w:ascii="Times New Roman" w:hAnsi="Times New Roman"/>
                <w:sz w:val="20"/>
              </w:rPr>
            </w:pPr>
            <w:r>
              <w:rPr>
                <w:rFonts w:ascii="Times New Roman" w:hAnsi="Times New Roman"/>
                <w:sz w:val="20"/>
              </w:rPr>
              <w:t>2901 Tasman Dr.,</w:t>
            </w:r>
          </w:p>
          <w:p>
            <w:pPr>
              <w:pStyle w:val="TableContents"/>
              <w:bidi w:val="0"/>
              <w:spacing w:before="0" w:after="0"/>
              <w:jc w:val="left"/>
              <w:rPr>
                <w:rFonts w:ascii="Times New Roman" w:hAnsi="Times New Roman"/>
                <w:sz w:val="20"/>
              </w:rPr>
            </w:pPr>
            <w:r>
              <w:rPr>
                <w:rFonts w:ascii="Times New Roman" w:hAnsi="Times New Roman"/>
                <w:sz w:val="20"/>
              </w:rPr>
              <w:t>Suite 204</w:t>
            </w:r>
          </w:p>
          <w:p>
            <w:pPr>
              <w:pStyle w:val="TableContents"/>
              <w:bidi w:val="0"/>
              <w:spacing w:before="0" w:after="20"/>
              <w:jc w:val="left"/>
              <w:rPr>
                <w:rFonts w:ascii="Times New Roman" w:hAnsi="Times New Roman"/>
                <w:sz w:val="20"/>
              </w:rPr>
            </w:pPr>
            <w:r>
              <w:rPr>
                <w:rFonts w:ascii="Times New Roman" w:hAnsi="Times New Roman"/>
                <w:sz w:val="20"/>
              </w:rPr>
              <w:t>Santa Clara, CA 95054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Non-disparagement</w:t>
      </w:r>
      <w:r>
        <w:rPr>
          <w:rFonts w:ascii="Times New Roman" w:hAnsi="Times New Roman"/>
          <w:sz w:val="20"/>
        </w:rPr>
        <w:t xml:space="preserve">. You agree that on and after the date hereof, you will not disparage the Company, or any individual that is an officer, or director of the Company as of such date, in any manner that causes material harm to any of them or any of their business, business reputations or personal reputations, and that you have not undertaken any such acts as of the of Separation Date through the date hereof. The Company agrees that neither the Company nor any of its directors or officers will disparage you in any manner that causes material harm to your business or personal reputation; provided that all parties may respond accurately and fully to any request for information if required by legal process. The parties agree that only the parties to this Agreement will have the right to enforce the provisions of this Section 7, and that no third-party beneficiaries, express or implied, are created hereby.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u w:val="single"/>
        </w:rPr>
        <w:t>Expiration</w:t>
      </w:r>
      <w:r>
        <w:rPr>
          <w:rFonts w:ascii="Times New Roman" w:hAnsi="Times New Roman"/>
          <w:sz w:val="20"/>
        </w:rPr>
        <w:t xml:space="preserve">. This offer shall expire on 7 February, 2022 and is contingent on your signing the Companys standard CIIA, a copy of which is attached for your review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[Signatures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087"/>
        <w:gridCol w:w="100"/>
        <w:gridCol w:w="1650"/>
        <w:gridCol w:w="100"/>
        <w:gridCol w:w="1721"/>
        <w:gridCol w:w="130"/>
        <w:gridCol w:w="2417"/>
      </w:tblGrid>
      <w:tr>
        <w:trPr/>
        <w:tc>
          <w:tcPr>
            <w:tcW w:w="408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r>
      <w:tr>
        <w:trPr/>
        <w:tc>
          <w:tcPr>
            <w:tcW w:w="4087" w:type="dxa"/>
            <w:tcBorders/>
          </w:tcPr>
          <w:p>
            <w:pPr>
              <w:pStyle w:val="TableContents"/>
              <w:bidi w:val="0"/>
              <w:spacing w:before="0" w:after="283"/>
              <w:jc w:val="left"/>
              <w:rPr/>
            </w:pPr>
            <w:r>
              <w:rPr/>
              <w:drawing>
                <wp:inline distT="0" distB="0" distL="0" distR="0">
                  <wp:extent cx="2590800" cy="77152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2590800" cy="771525"/>
                          </a:xfrm>
                          <a:prstGeom prst="rect">
                            <a:avLst/>
                          </a:prstGeom>
                        </pic:spPr>
                      </pic:pic>
                    </a:graphicData>
                  </a:graphic>
                </wp:inline>
              </w:drawing>
            </w:r>
            <w:r>
              <w:rPr/>
              <w:t xml:space="preserve"> </w:t>
            </w:r>
          </w:p>
        </w:tc>
        <w:tc>
          <w:tcPr>
            <w:tcW w:w="100" w:type="dxa"/>
            <w:tcBorders/>
            <w:vAlign w:val="bottom"/>
          </w:tcPr>
          <w:p>
            <w:pPr>
              <w:pStyle w:val="TableContents"/>
              <w:bidi w:val="0"/>
              <w:spacing w:before="0" w:after="283"/>
              <w:jc w:val="left"/>
              <w:rPr/>
            </w:pPr>
            <w:r>
              <w:rPr/>
              <w:t> </w:t>
            </w:r>
          </w:p>
        </w:tc>
        <w:tc>
          <w:tcPr>
            <w:tcW w:w="1650"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721"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417"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www.AsteraLabs.com</w:t>
            </w:r>
          </w:p>
          <w:p>
            <w:pPr>
              <w:pStyle w:val="TableContents"/>
              <w:bidi w:val="0"/>
              <w:spacing w:before="0" w:after="0"/>
              <w:jc w:val="left"/>
              <w:rPr>
                <w:rFonts w:ascii="Times New Roman" w:hAnsi="Times New Roman"/>
                <w:sz w:val="20"/>
              </w:rPr>
            </w:pPr>
            <w:r>
              <w:rPr>
                <w:rFonts w:ascii="Times New Roman" w:hAnsi="Times New Roman"/>
                <w:sz w:val="20"/>
              </w:rPr>
              <w:t>2901 Tasman Dr.,</w:t>
            </w:r>
          </w:p>
          <w:p>
            <w:pPr>
              <w:pStyle w:val="TableContents"/>
              <w:bidi w:val="0"/>
              <w:spacing w:before="0" w:after="0"/>
              <w:jc w:val="left"/>
              <w:rPr>
                <w:rFonts w:ascii="Times New Roman" w:hAnsi="Times New Roman"/>
                <w:sz w:val="20"/>
              </w:rPr>
            </w:pPr>
            <w:r>
              <w:rPr>
                <w:rFonts w:ascii="Times New Roman" w:hAnsi="Times New Roman"/>
                <w:sz w:val="20"/>
              </w:rPr>
              <w:t>Suite 204</w:t>
            </w:r>
          </w:p>
          <w:p>
            <w:pPr>
              <w:pStyle w:val="TableContents"/>
              <w:bidi w:val="0"/>
              <w:spacing w:before="0" w:after="20"/>
              <w:jc w:val="left"/>
              <w:rPr>
                <w:rFonts w:ascii="Times New Roman" w:hAnsi="Times New Roman"/>
                <w:sz w:val="20"/>
              </w:rPr>
            </w:pPr>
            <w:r>
              <w:rPr>
                <w:rFonts w:ascii="Times New Roman" w:hAnsi="Times New Roman"/>
                <w:sz w:val="20"/>
              </w:rPr>
              <w:t>Santa Clara, CA 95054</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Please indicate your acceptance to the foregoing terms by signing this letter where indicated below and returning it to me. </w:t>
      </w:r>
    </w:p>
    <w:p>
      <w:pPr>
        <w:pStyle w:val="TextBody"/>
        <w:bidi w:val="0"/>
        <w:spacing w:before="240" w:after="0"/>
        <w:jc w:val="left"/>
        <w:rPr>
          <w:rFonts w:ascii="Times New Roman" w:hAnsi="Times New Roman"/>
          <w:sz w:val="20"/>
        </w:rPr>
      </w:pPr>
      <w:r>
        <w:rPr>
          <w:rFonts w:ascii="Times New Roman" w:hAnsi="Times New Roman"/>
          <w:sz w:val="20"/>
        </w:rPr>
        <w:t xml:space="preserve">I am delighted that you will be joining our team and I am looking forward to working with you. If you have any questions, please give me a call.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Astera Labs,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Sanjay Gajendra</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Sanjay Gajendra</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Chief Business Officer.</w:t>
            </w:r>
          </w:p>
        </w:tc>
      </w:tr>
    </w:tbl>
    <w:p>
      <w:pPr>
        <w:pStyle w:val="TextBody"/>
        <w:bidi w:val="0"/>
        <w:spacing w:before="240" w:after="0"/>
        <w:jc w:val="left"/>
        <w:rPr>
          <w:rFonts w:ascii="Times New Roman" w:hAnsi="Times New Roman"/>
          <w:sz w:val="20"/>
        </w:rPr>
      </w:pPr>
      <w:r>
        <w:rPr>
          <w:rFonts w:ascii="Times New Roman" w:hAnsi="Times New Roman"/>
          <w:b/>
          <w:sz w:val="20"/>
        </w:rPr>
        <w:t>AGREED TO AND ACCEPTED BY</w:t>
      </w:r>
      <w:r>
        <w:rPr>
          <w:rFonts w:ascii="Times New Roman" w:hAnsi="Times New Roman"/>
          <w:sz w:val="20"/>
        </w:rPr>
        <w:t xml:space="preser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Philip Mazzara</w:t>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Philip Mazzara (Feb 7, 2022 14:17 PST)</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Philip Mazzara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[Printed name]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 7, 2022 </w:t>
      </w:r>
    </w:p>
    <w:p>
      <w:pPr>
        <w:pStyle w:val="TextBody"/>
        <w:bidi w:val="0"/>
        <w:spacing w:before="240" w:after="0"/>
        <w:jc w:val="left"/>
        <w:rPr>
          <w:rFonts w:ascii="Times New Roman" w:hAnsi="Times New Roman"/>
          <w:sz w:val="20"/>
        </w:rPr>
      </w:pPr>
      <w:r>
        <w:rPr>
          <w:rFonts w:ascii="Times New Roman" w:hAnsi="Times New Roman"/>
          <w:sz w:val="20"/>
        </w:rPr>
        <w:t xml:space="preserve">Enclosure: Confidential Information and Invention Assignment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59" w:name="d285484dex1012.htm"/>
      <w:bookmarkStart w:id="60" w:name="ksd285484dex1012"/>
      <w:bookmarkEnd w:id="59"/>
      <w:bookmarkEnd w:id="60"/>
      <w:r>
        <w:rPr>
          <w:rFonts w:ascii="Times New Roman" w:hAnsi="Times New Roman"/>
          <w:b/>
          <w:sz w:val="20"/>
        </w:rPr>
        <w:t xml:space="preserve">Exhibit 10.12 </w:t>
      </w:r>
      <w:r>
        <w:br w:type="page"/>
      </w:r>
    </w:p>
    <w:p>
      <w:pPr>
        <w:pStyle w:val="TextBody"/>
        <w:bidi w:val="0"/>
        <w:spacing w:before="240" w:after="0"/>
        <w:jc w:val="left"/>
        <w:rPr>
          <w:rFonts w:ascii="Times New Roman" w:hAnsi="Times New Roman"/>
          <w:sz w:val="20"/>
        </w:rPr>
      </w:pPr>
      <w:r>
        <w:rPr>
          <w:rFonts w:ascii="Times New Roman" w:hAnsi="Times New Roman"/>
          <w:sz w:val="20"/>
        </w:rPr>
        <w:t>THIS WARRANT AND THE SHARES ISSUABLE HEREUNDER HAVE NOT BEEN REGISTERED UNDER THE SECURITIES ACT OF 1933, AS AMENDED (THE </w:t>
      </w:r>
      <w:r>
        <w:rPr>
          <w:rFonts w:ascii="Times New Roman" w:hAnsi="Times New Roman"/>
          <w:b/>
          <w:sz w:val="20"/>
          <w:u w:val="single"/>
        </w:rPr>
        <w:t>ACT</w:t>
      </w:r>
      <w:r>
        <w:rPr>
          <w:rFonts w:ascii="Times New Roman" w:hAnsi="Times New Roman"/>
          <w:sz w:val="20"/>
        </w:rPr>
        <w:t xml:space="preserve">),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 </w:t>
      </w:r>
    </w:p>
    <w:p>
      <w:pPr>
        <w:pStyle w:val="TextBody"/>
        <w:bidi w:val="0"/>
        <w:spacing w:before="240" w:after="0"/>
        <w:jc w:val="center"/>
        <w:rPr>
          <w:rFonts w:ascii="Times New Roman" w:hAnsi="Times New Roman"/>
          <w:b/>
          <w:sz w:val="20"/>
        </w:rPr>
      </w:pPr>
      <w:r>
        <w:rPr>
          <w:rFonts w:ascii="Times New Roman" w:hAnsi="Times New Roman"/>
          <w:b/>
          <w:sz w:val="20"/>
        </w:rPr>
        <w:t xml:space="preserve">WARRANT TO PURCHASE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6"/>
        <w:gridCol w:w="122"/>
        <w:gridCol w:w="7157"/>
      </w:tblGrid>
      <w:tr>
        <w:trPr/>
        <w:tc>
          <w:tcPr>
            <w:tcW w:w="29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57" w:type="dxa"/>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b/>
                <w:sz w:val="20"/>
              </w:rPr>
            </w:pPr>
            <w:r>
              <w:rPr>
                <w:rFonts w:ascii="Times New Roman" w:hAnsi="Times New Roman"/>
                <w:b/>
                <w:sz w:val="20"/>
              </w:rPr>
              <w:t>Company:</w:t>
            </w:r>
          </w:p>
          <w:p>
            <w:pPr>
              <w:pStyle w:val="TableContents"/>
              <w:bidi w:val="0"/>
              <w:spacing w:before="0" w:after="0"/>
              <w:jc w:val="left"/>
              <w:rPr>
                <w:rFonts w:ascii="Times New Roman" w:hAnsi="Times New Roman"/>
                <w:b/>
                <w:sz w:val="20"/>
              </w:rPr>
            </w:pPr>
            <w:r>
              <w:rPr>
                <w:rFonts w:ascii="Times New Roman" w:hAnsi="Times New Roman"/>
                <w:b/>
                <w:sz w:val="20"/>
              </w:rPr>
              <w:t>Number of Shares of Common Stock:</w:t>
            </w:r>
          </w:p>
          <w:p>
            <w:pPr>
              <w:pStyle w:val="TableContents"/>
              <w:bidi w:val="0"/>
              <w:spacing w:before="0" w:after="20"/>
              <w:jc w:val="left"/>
              <w:rPr>
                <w:rFonts w:ascii="Times New Roman" w:hAnsi="Times New Roman"/>
                <w:b/>
                <w:sz w:val="20"/>
              </w:rPr>
            </w:pPr>
            <w:r>
              <w:rPr>
                <w:rFonts w:ascii="Times New Roman" w:hAnsi="Times New Roman"/>
                <w:b/>
                <w:sz w:val="20"/>
              </w:rPr>
              <w:t>Warrant Price:</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0"/>
              <w:jc w:val="left"/>
              <w:rPr>
                <w:rFonts w:ascii="Times New Roman" w:hAnsi="Times New Roman"/>
                <w:sz w:val="20"/>
              </w:rPr>
            </w:pPr>
            <w:r>
              <w:rPr>
                <w:rFonts w:ascii="Times New Roman" w:hAnsi="Times New Roman"/>
                <w:sz w:val="20"/>
              </w:rPr>
              <w:t>ASTERA LABS, INC., a Delaware corporation</w:t>
            </w:r>
          </w:p>
          <w:p>
            <w:pPr>
              <w:pStyle w:val="TableContents"/>
              <w:bidi w:val="0"/>
              <w:spacing w:before="0" w:after="0"/>
              <w:jc w:val="left"/>
              <w:rPr>
                <w:rFonts w:ascii="Times New Roman" w:hAnsi="Times New Roman"/>
                <w:sz w:val="20"/>
              </w:rPr>
            </w:pPr>
            <w:r>
              <w:rPr>
                <w:rFonts w:ascii="Times New Roman" w:hAnsi="Times New Roman"/>
                <w:sz w:val="20"/>
              </w:rPr>
              <w:t>50,474 Shares, which is equal to 0.10% of the total fully diluted shares of the Company as of the Issue Date</w:t>
            </w:r>
          </w:p>
          <w:p>
            <w:pPr>
              <w:pStyle w:val="TableContents"/>
              <w:bidi w:val="0"/>
              <w:spacing w:before="0" w:after="20"/>
              <w:jc w:val="left"/>
              <w:rPr>
                <w:rFonts w:ascii="Times New Roman" w:hAnsi="Times New Roman"/>
                <w:sz w:val="20"/>
              </w:rPr>
            </w:pPr>
            <w:r>
              <w:rPr>
                <w:rFonts w:ascii="Times New Roman" w:hAnsi="Times New Roman"/>
                <w:sz w:val="20"/>
              </w:rPr>
              <w:t>$0.77 per Share, which is the fair market value of a share of the Companys Common Stock as set forth in the most recent 409A valuation report of the Companys Common Stock dated as of December 7, 2020, with a valuation date of November 13, 2020 (the </w:t>
            </w:r>
            <w:r>
              <w:rPr>
                <w:rFonts w:ascii="Times New Roman" w:hAnsi="Times New Roman"/>
                <w:b/>
                <w:sz w:val="20"/>
              </w:rPr>
              <w:t>409A Valuation</w:t>
            </w:r>
            <w:r>
              <w:rPr>
                <w:rFonts w:ascii="Times New Roman" w:hAnsi="Times New Roman"/>
                <w:sz w:val="20"/>
              </w:rPr>
              <w:t>).</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b/>
                <w:sz w:val="20"/>
              </w:rPr>
            </w:pPr>
            <w:r>
              <w:rPr>
                <w:rFonts w:ascii="Times New Roman" w:hAnsi="Times New Roman"/>
                <w:b/>
                <w:sz w:val="20"/>
              </w:rPr>
              <w:t>Issue Date:</w:t>
            </w:r>
          </w:p>
          <w:p>
            <w:pPr>
              <w:pStyle w:val="TableContents"/>
              <w:bidi w:val="0"/>
              <w:spacing w:before="0" w:after="0"/>
              <w:jc w:val="left"/>
              <w:rPr>
                <w:rFonts w:ascii="Times New Roman" w:hAnsi="Times New Roman"/>
                <w:b/>
                <w:sz w:val="20"/>
              </w:rPr>
            </w:pPr>
            <w:r>
              <w:rPr>
                <w:rFonts w:ascii="Times New Roman" w:hAnsi="Times New Roman"/>
                <w:b/>
                <w:sz w:val="20"/>
              </w:rPr>
              <w:t>Expiration Date:</w:t>
            </w:r>
          </w:p>
          <w:p>
            <w:pPr>
              <w:pStyle w:val="TableContents"/>
              <w:bidi w:val="0"/>
              <w:spacing w:before="0" w:after="20"/>
              <w:jc w:val="left"/>
              <w:rPr>
                <w:rFonts w:ascii="Times New Roman" w:hAnsi="Times New Roman"/>
                <w:b/>
                <w:sz w:val="20"/>
              </w:rPr>
            </w:pPr>
            <w:r>
              <w:rPr>
                <w:rFonts w:ascii="Times New Roman" w:hAnsi="Times New Roman"/>
                <w:b/>
                <w:sz w:val="20"/>
              </w:rPr>
              <w:t>Credit Facility:</w:t>
            </w:r>
          </w:p>
        </w:tc>
        <w:tc>
          <w:tcPr>
            <w:tcW w:w="122" w:type="dxa"/>
            <w:tcBorders/>
            <w:vAlign w:val="bottom"/>
          </w:tcPr>
          <w:p>
            <w:pPr>
              <w:pStyle w:val="TableContents"/>
              <w:bidi w:val="0"/>
              <w:spacing w:before="0" w:after="283"/>
              <w:jc w:val="left"/>
              <w:rPr/>
            </w:pPr>
            <w:r>
              <w:rPr/>
              <w:t>  </w:t>
            </w:r>
          </w:p>
        </w:tc>
        <w:tc>
          <w:tcPr>
            <w:tcW w:w="7157" w:type="dxa"/>
            <w:tcBorders/>
          </w:tcPr>
          <w:p>
            <w:pPr>
              <w:pStyle w:val="TableContents"/>
              <w:bidi w:val="0"/>
              <w:spacing w:before="0" w:after="0"/>
              <w:jc w:val="left"/>
              <w:rPr>
                <w:rFonts w:ascii="Times New Roman" w:hAnsi="Times New Roman"/>
                <w:sz w:val="20"/>
              </w:rPr>
            </w:pPr>
            <w:r>
              <w:rPr>
                <w:rFonts w:ascii="Times New Roman" w:hAnsi="Times New Roman"/>
                <w:sz w:val="20"/>
              </w:rPr>
              <w:t>April 30, 2021</w:t>
            </w:r>
          </w:p>
          <w:p>
            <w:pPr>
              <w:pStyle w:val="TableContents"/>
              <w:bidi w:val="0"/>
              <w:spacing w:before="0" w:after="0"/>
              <w:jc w:val="left"/>
              <w:rPr>
                <w:rFonts w:ascii="Times New Roman" w:hAnsi="Times New Roman"/>
                <w:sz w:val="20"/>
              </w:rPr>
            </w:pPr>
            <w:r>
              <w:rPr>
                <w:rFonts w:ascii="Times New Roman" w:hAnsi="Times New Roman"/>
                <w:sz w:val="20"/>
              </w:rPr>
              <w:t xml:space="preserve">April 30, 2031 </w:t>
            </w:r>
            <w:r>
              <w:rPr>
                <w:rFonts w:ascii="Times New Roman" w:hAnsi="Times New Roman"/>
                <w:b/>
                <w:sz w:val="20"/>
              </w:rPr>
              <w:t>See also Section</w:t>
            </w:r>
            <w:r>
              <w:rPr>
                <w:rFonts w:ascii="Times New Roman" w:hAnsi="Times New Roman"/>
                <w:sz w:val="20"/>
              </w:rPr>
              <w:t> </w:t>
            </w:r>
            <w:r>
              <w:rPr>
                <w:rFonts w:ascii="Times New Roman" w:hAnsi="Times New Roman"/>
                <w:b/>
                <w:sz w:val="20"/>
              </w:rPr>
              <w:t>5.1(b).</w:t>
            </w:r>
          </w:p>
          <w:p>
            <w:pPr>
              <w:pStyle w:val="TableContents"/>
              <w:bidi w:val="0"/>
              <w:spacing w:before="0" w:after="20"/>
              <w:jc w:val="left"/>
              <w:rPr>
                <w:rFonts w:ascii="Times New Roman" w:hAnsi="Times New Roman"/>
                <w:sz w:val="20"/>
              </w:rPr>
            </w:pPr>
            <w:r>
              <w:rPr>
                <w:rFonts w:ascii="Times New Roman" w:hAnsi="Times New Roman"/>
                <w:sz w:val="20"/>
              </w:rPr>
              <w:t>This Warrant to Purchase Common Stock (as the same may from time to time be amended, restated, supplemented, or otherwise modified, the </w:t>
            </w:r>
            <w:r>
              <w:rPr>
                <w:rFonts w:ascii="Times New Roman" w:hAnsi="Times New Roman"/>
                <w:b/>
                <w:sz w:val="20"/>
              </w:rPr>
              <w:t>Warrant</w:t>
            </w:r>
            <w:r>
              <w:rPr>
                <w:rFonts w:ascii="Times New Roman" w:hAnsi="Times New Roman"/>
                <w:sz w:val="20"/>
              </w:rPr>
              <w:t>) is issued in connection with that certain Loan and Security Agreement of even date herewith between Silicon Valley Bank and the Company (as the same may from time to time be amended, restated, supplemented, or otherwise modified, the </w:t>
            </w:r>
            <w:r>
              <w:rPr>
                <w:rFonts w:ascii="Times New Roman" w:hAnsi="Times New Roman"/>
                <w:b/>
                <w:sz w:val="20"/>
              </w:rPr>
              <w:t>Loan Agreement</w:t>
            </w:r>
            <w:r>
              <w:rPr>
                <w:rFonts w:ascii="Times New Roman" w:hAnsi="Times New Roman"/>
                <w:sz w:val="20"/>
              </w:rPr>
              <w:t>).</w:t>
            </w:r>
          </w:p>
        </w:tc>
      </w:tr>
    </w:tbl>
    <w:p>
      <w:pPr>
        <w:pStyle w:val="TextBody"/>
        <w:bidi w:val="0"/>
        <w:spacing w:before="240" w:after="0"/>
        <w:jc w:val="left"/>
        <w:rPr>
          <w:rFonts w:ascii="Times New Roman" w:hAnsi="Times New Roman"/>
          <w:sz w:val="20"/>
        </w:rPr>
      </w:pPr>
      <w:r>
        <w:rPr>
          <w:rFonts w:ascii="Times New Roman" w:hAnsi="Times New Roman"/>
          <w:sz w:val="20"/>
        </w:rPr>
        <w:t>THIS WARRANT CERTIFIES THAT, for good and valuable consideration, SILICON VALLEY BANK (together with any successor or permitted assignee or transferee of this Warrant or of any shares issued upon exercise hereof, </w:t>
      </w:r>
      <w:r>
        <w:rPr>
          <w:rFonts w:ascii="Times New Roman" w:hAnsi="Times New Roman"/>
          <w:b/>
          <w:sz w:val="20"/>
          <w:u w:val="single"/>
        </w:rPr>
        <w:t>Holder</w:t>
      </w:r>
      <w:r>
        <w:rPr>
          <w:rFonts w:ascii="Times New Roman" w:hAnsi="Times New Roman"/>
          <w:sz w:val="20"/>
        </w:rPr>
        <w:t>) is entitled to purchase the number of fully paid and non-assessable shares (the </w:t>
      </w:r>
      <w:r>
        <w:rPr>
          <w:rFonts w:ascii="Times New Roman" w:hAnsi="Times New Roman"/>
          <w:b/>
          <w:sz w:val="20"/>
          <w:u w:val="single"/>
        </w:rPr>
        <w:t>Shares</w:t>
      </w:r>
      <w:r>
        <w:rPr>
          <w:rFonts w:ascii="Times New Roman" w:hAnsi="Times New Roman"/>
          <w:sz w:val="20"/>
        </w:rPr>
        <w:t>) of the above-stated common stock (the </w:t>
      </w:r>
      <w:r>
        <w:rPr>
          <w:rFonts w:ascii="Times New Roman" w:hAnsi="Times New Roman"/>
          <w:b/>
          <w:sz w:val="20"/>
          <w:u w:val="single"/>
        </w:rPr>
        <w:t>Common Stock</w:t>
      </w:r>
      <w:r>
        <w:rPr>
          <w:rFonts w:ascii="Times New Roman" w:hAnsi="Times New Roman"/>
          <w:sz w:val="20"/>
        </w:rPr>
        <w:t>) of the above-named company (the </w:t>
      </w:r>
      <w:r>
        <w:rPr>
          <w:rFonts w:ascii="Times New Roman" w:hAnsi="Times New Roman"/>
          <w:b/>
          <w:sz w:val="20"/>
          <w:u w:val="single"/>
        </w:rPr>
        <w:t>Company</w:t>
      </w:r>
      <w:r>
        <w:rPr>
          <w:rFonts w:ascii="Times New Roman" w:hAnsi="Times New Roman"/>
          <w:sz w:val="20"/>
        </w:rPr>
        <w:t xml:space="preserve">)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 </w:t>
      </w:r>
    </w:p>
    <w:p>
      <w:pPr>
        <w:pStyle w:val="TextBody"/>
        <w:bidi w:val="0"/>
        <w:spacing w:before="240" w:after="0"/>
        <w:jc w:val="center"/>
        <w:rPr>
          <w:rFonts w:ascii="Times New Roman" w:hAnsi="Times New Roman"/>
          <w:sz w:val="20"/>
        </w:rPr>
      </w:pPr>
      <w:r>
        <w:rPr>
          <w:rFonts w:ascii="Times New Roman" w:hAnsi="Times New Roman"/>
          <w:sz w:val="20"/>
        </w:rPr>
        <w:t>SECTION 1.</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Method of Exercise</w:t>
      </w:r>
      <w:r>
        <w:rPr>
          <w:rFonts w:ascii="Times New Roman" w:hAnsi="Times New Roman"/>
          <w:sz w:val="20"/>
        </w:rPr>
        <w:t xml:space="preserve">.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Cashless Exercise</w:t>
      </w:r>
      <w:r>
        <w:rPr>
          <w:rFonts w:ascii="Times New Roman" w:hAnsi="Times New Roman"/>
          <w:sz w:val="20"/>
        </w:rPr>
        <w:t xml:space="preserve">.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4"/>
        <w:gridCol w:w="110"/>
        <w:gridCol w:w="627"/>
        <w:gridCol w:w="123"/>
        <w:gridCol w:w="8631"/>
      </w:tblGrid>
      <w:tr>
        <w:trPr/>
        <w:tc>
          <w:tcPr>
            <w:tcW w:w="71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pPr>
            <w:r>
              <w:rPr/>
              <w:t>X = Y(A-B)/A</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8754"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pPr>
            <w:r>
              <w:rPr/>
              <w:t>where:</w:t>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sz w:val="4"/>
                <w:szCs w:val="4"/>
              </w:rPr>
            </w:pPr>
            <w:r>
              <w:rPr>
                <w:sz w:val="4"/>
                <w:szCs w:val="4"/>
              </w:rPr>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8754"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X =</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pPr>
            <w:r>
              <w:rPr/>
              <w:t>the number of Shares to be issued to the Holder;</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8754"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Y =</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pPr>
            <w:r>
              <w:rPr/>
              <w:t>the number of Shares with respect to which this Warrant is being exercised (inclusive of the Shares surrendered to the Company in payment of the aggregate Warrant Price);</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8754"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A =</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pPr>
            <w:r>
              <w:rPr/>
              <w:t>the Fair Market Value (as determined pursuant to Section 1.3 below) of one Share; and</w:t>
            </w:r>
          </w:p>
        </w:tc>
      </w:tr>
      <w:tr>
        <w:trPr>
          <w:trHeight w:val="120" w:hRule="atLeast"/>
        </w:trPr>
        <w:tc>
          <w:tcPr>
            <w:tcW w:w="714" w:type="dxa"/>
            <w:tcBorders/>
            <w:vAlign w:val="center"/>
          </w:tcPr>
          <w:p>
            <w:pPr>
              <w:pStyle w:val="TableContents"/>
              <w:bidi w:val="0"/>
              <w:spacing w:before="0" w:after="283"/>
              <w:jc w:val="left"/>
              <w:rPr>
                <w:sz w:val="4"/>
                <w:szCs w:val="4"/>
              </w:rPr>
            </w:pPr>
            <w:r>
              <w:rPr>
                <w:sz w:val="4"/>
                <w:szCs w:val="4"/>
              </w:rPr>
            </w:r>
          </w:p>
        </w:tc>
        <w:tc>
          <w:tcPr>
            <w:tcW w:w="737" w:type="dxa"/>
            <w:gridSpan w:val="2"/>
            <w:tcBorders/>
            <w:vAlign w:val="center"/>
          </w:tcPr>
          <w:p>
            <w:pPr>
              <w:pStyle w:val="TableContents"/>
              <w:bidi w:val="0"/>
              <w:spacing w:before="0" w:after="283"/>
              <w:jc w:val="left"/>
              <w:rPr>
                <w:sz w:val="4"/>
                <w:szCs w:val="4"/>
              </w:rPr>
            </w:pPr>
            <w:r>
              <w:rPr>
                <w:sz w:val="4"/>
                <w:szCs w:val="4"/>
              </w:rPr>
            </w:r>
          </w:p>
        </w:tc>
        <w:tc>
          <w:tcPr>
            <w:tcW w:w="8754"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27" w:type="dxa"/>
            <w:tcBorders/>
          </w:tcPr>
          <w:p>
            <w:pPr>
              <w:pStyle w:val="TableContents"/>
              <w:bidi w:val="0"/>
              <w:spacing w:before="0" w:after="283"/>
              <w:jc w:val="left"/>
              <w:rPr/>
            </w:pPr>
            <w:r>
              <w:rPr/>
              <w:t>B =</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pPr>
            <w:r>
              <w:rPr/>
              <w:t>the Warrant Price.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Fair Market Value</w:t>
      </w:r>
      <w:r>
        <w:rPr>
          <w:rFonts w:ascii="Times New Roman" w:hAnsi="Times New Roman"/>
          <w:sz w:val="20"/>
        </w:rPr>
        <w:t>. If the Companys Common Stock is then traded or quoted on a nationally recognized securities exchange, inter-dealer quotation system or over-the-counter market (a </w:t>
      </w:r>
      <w:r>
        <w:rPr>
          <w:rFonts w:ascii="Times New Roman" w:hAnsi="Times New Roman"/>
          <w:b/>
          <w:sz w:val="20"/>
          <w:u w:val="single"/>
        </w:rPr>
        <w:t>Trading Market</w:t>
      </w:r>
      <w:r>
        <w:rPr>
          <w:rFonts w:ascii="Times New Roman" w:hAnsi="Times New Roman"/>
          <w:sz w:val="20"/>
        </w:rPr>
        <w:t xml:space="preserve">),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Delivery of Certificate and New Warrant</w:t>
      </w:r>
      <w:r>
        <w:rPr>
          <w:rFonts w:ascii="Times New Roman" w:hAnsi="Times New Roman"/>
          <w:sz w:val="20"/>
        </w:rPr>
        <w:t xml:space="preserve">.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Replacement of Warrant</w:t>
      </w:r>
      <w:r>
        <w:rPr>
          <w:rFonts w:ascii="Times New Roman" w:hAnsi="Times New Roman"/>
          <w:sz w:val="20"/>
        </w:rPr>
        <w:t xml:space="preserve">.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Treatment of Warrant Upon Acquisition of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Acquisition</w:t>
      </w:r>
      <w:r>
        <w:rPr>
          <w:rFonts w:ascii="Times New Roman" w:hAnsi="Times New Roman"/>
          <w:sz w:val="20"/>
        </w:rPr>
        <w:t>. For the purpose of this Warrant, </w:t>
      </w:r>
      <w:r>
        <w:rPr>
          <w:rFonts w:ascii="Times New Roman" w:hAnsi="Times New Roman"/>
          <w:b/>
          <w:sz w:val="20"/>
          <w:u w:val="single"/>
        </w:rPr>
        <w:t>Acquisition</w:t>
      </w:r>
      <w:r>
        <w:rPr>
          <w:rFonts w:ascii="Times New Roman" w:hAnsi="Times New Roman"/>
          <w:sz w:val="20"/>
        </w:rPr>
        <w:t xml:space="preserve">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Warrant at Acquisition</w:t>
      </w:r>
      <w:r>
        <w:rPr>
          <w:rFonts w:ascii="Times New Roman" w:hAnsi="Times New Roman"/>
          <w:sz w:val="20"/>
        </w:rPr>
        <w:t>. In the event of an Acquisition in which the consideration to be received by the Companys stockholders consists solely of cash, solely of Marketable Securities or a combination of cash and Marketable Securities (a </w:t>
      </w:r>
      <w:r>
        <w:rPr>
          <w:rFonts w:ascii="Times New Roman" w:hAnsi="Times New Roman"/>
          <w:b/>
          <w:sz w:val="20"/>
          <w:u w:val="single"/>
        </w:rPr>
        <w:t>Cash/Public Acquisition</w:t>
      </w:r>
      <w:r>
        <w:rPr>
          <w:rFonts w:ascii="Times New Roman" w:hAnsi="Times New Roman"/>
          <w:sz w:val="20"/>
        </w:rPr>
        <w:t xml:space="preserve">),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 </w:t>
      </w:r>
    </w:p>
    <w:p>
      <w:pPr>
        <w:pStyle w:val="TextBody"/>
        <w:bidi w:val="0"/>
        <w:spacing w:before="120" w:after="0"/>
        <w:jc w:val="left"/>
        <w:rPr>
          <w:rFonts w:ascii="Times New Roman" w:hAnsi="Times New Roman"/>
          <w:sz w:val="20"/>
        </w:rPr>
      </w:pPr>
      <w:r>
        <w:rPr>
          <w:rFonts w:ascii="Times New Roman" w:hAnsi="Times New Roman"/>
          <w:sz w:val="20"/>
        </w:rPr>
        <w:t xml:space="preserve">(c) 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 </w:t>
      </w:r>
    </w:p>
    <w:p>
      <w:pPr>
        <w:pStyle w:val="TextBody"/>
        <w:bidi w:val="0"/>
        <w:spacing w:before="120" w:after="0"/>
        <w:jc w:val="left"/>
        <w:rPr>
          <w:rFonts w:ascii="Times New Roman" w:hAnsi="Times New Roman"/>
          <w:sz w:val="20"/>
        </w:rPr>
      </w:pPr>
      <w:r>
        <w:rPr>
          <w:rFonts w:ascii="Times New Roman" w:hAnsi="Times New Roman"/>
          <w:sz w:val="20"/>
        </w:rPr>
        <w:t>(d) As used in this Warrant, </w:t>
      </w:r>
      <w:r>
        <w:rPr>
          <w:rFonts w:ascii="Times New Roman" w:hAnsi="Times New Roman"/>
          <w:b/>
          <w:sz w:val="20"/>
          <w:u w:val="single"/>
        </w:rPr>
        <w:t>Marketable Securities</w:t>
      </w:r>
      <w:r>
        <w:rPr>
          <w:rFonts w:ascii="Times New Roman" w:hAnsi="Times New Roman"/>
          <w:sz w:val="20"/>
        </w:rPr>
        <w:t> means securities meeting all of the following requirements: (i) the issuer thereof is then subject to the reporting requirements of Section 13 or Section 15(d) of the Securities Exchange Act of 1934, as amended (the </w:t>
      </w:r>
      <w:r>
        <w:rPr>
          <w:rFonts w:ascii="Times New Roman" w:hAnsi="Times New Roman"/>
          <w:b/>
          <w:sz w:val="20"/>
          <w:u w:val="single"/>
        </w:rPr>
        <w:t>Exchange Act</w:t>
      </w:r>
      <w:r>
        <w:rPr>
          <w:rFonts w:ascii="Times New Roman" w:hAnsi="Times New Roman"/>
          <w:sz w:val="20"/>
        </w:rPr>
        <w:t xml:space="preserve">),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2.ADJUSTMENTS TO THE SHARES AND WARRANT PRICE.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Stock Dividends, Splits, Etc</w:t>
      </w:r>
      <w:r>
        <w:rPr>
          <w:rFonts w:ascii="Times New Roman" w:hAnsi="Times New Roman"/>
          <w:sz w:val="20"/>
        </w:rPr>
        <w:t xml:space="preserve">.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Reclassification, Exchange, Combinations or Substitution</w:t>
      </w:r>
      <w:r>
        <w:rPr>
          <w:rFonts w:ascii="Times New Roman" w:hAnsi="Times New Roman"/>
          <w:sz w:val="20"/>
        </w:rPr>
        <w:t xml:space="preserve">.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 Fractional Share</w:t>
      </w:r>
      <w:r>
        <w:rPr>
          <w:rFonts w:ascii="Times New Roman" w:hAnsi="Times New Roman"/>
          <w:sz w:val="20"/>
        </w:rPr>
        <w:t xml:space="preserve">.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Notice/Certificate as to Adjustments</w:t>
      </w:r>
      <w:r>
        <w:rPr>
          <w:rFonts w:ascii="Times New Roman" w:hAnsi="Times New Roman"/>
          <w:sz w:val="20"/>
        </w:rPr>
        <w:t xml:space="preserve">.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SECTION 3.REPRESENTATIONS AND 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w:t>
      </w:r>
      <w:r>
        <w:rPr>
          <w:rFonts w:ascii="Times New Roman" w:hAnsi="Times New Roman"/>
          <w:sz w:val="20"/>
        </w:rPr>
        <w:t xml:space="preserve">. The Company represents and warrants to, and agrees with, the 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initial Warrant Price referenced on the first page of this Warrant is not greater than the fair market value of a share of the Companys Common Stock as set forth in the 409A Valuation. </w:t>
      </w:r>
    </w:p>
    <w:p>
      <w:pPr>
        <w:pStyle w:val="TextBody"/>
        <w:bidi w:val="0"/>
        <w:spacing w:before="120" w:after="0"/>
        <w:jc w:val="left"/>
        <w:rPr>
          <w:rFonts w:ascii="Times New Roman" w:hAnsi="Times New Roman"/>
          <w:sz w:val="20"/>
        </w:rPr>
      </w:pPr>
      <w:r>
        <w:rPr>
          <w:rFonts w:ascii="Times New Roman" w:hAnsi="Times New Roman"/>
          <w:sz w:val="20"/>
        </w:rPr>
        <w:t xml:space="preserve">(b) 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Companys capitalization table attached hereto as Schedule 1 is true and complete, in all material respects, as of the Issue Date.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Notice of Certain Events</w:t>
      </w:r>
      <w:r>
        <w:rPr>
          <w:rFonts w:ascii="Times New Roman" w:hAnsi="Times New Roman"/>
          <w:sz w:val="20"/>
        </w:rPr>
        <w:t xml:space="preserve">. If the Company proposes at any time to: </w:t>
      </w:r>
    </w:p>
    <w:p>
      <w:pPr>
        <w:pStyle w:val="TextBody"/>
        <w:bidi w:val="0"/>
        <w:spacing w:before="120" w:after="0"/>
        <w:jc w:val="left"/>
        <w:rPr>
          <w:rFonts w:ascii="Times New Roman" w:hAnsi="Times New Roman"/>
          <w:sz w:val="20"/>
        </w:rPr>
      </w:pPr>
      <w:r>
        <w:rPr>
          <w:rFonts w:ascii="Times New Roman" w:hAnsi="Times New Roman"/>
          <w:sz w:val="20"/>
        </w:rPr>
        <w:t xml:space="preserve">(a) declare any dividend or distribution upon the outstanding shares of the Companys stock, whether in cash, property, stock, or other securities and whether or not a regular cash dividend; </w:t>
      </w:r>
    </w:p>
    <w:p>
      <w:pPr>
        <w:pStyle w:val="TextBody"/>
        <w:bidi w:val="0"/>
        <w:spacing w:before="120" w:after="0"/>
        <w:jc w:val="left"/>
        <w:rPr>
          <w:rFonts w:ascii="Times New Roman" w:hAnsi="Times New Roman"/>
          <w:sz w:val="20"/>
        </w:rPr>
      </w:pPr>
      <w:r>
        <w:rPr>
          <w:rFonts w:ascii="Times New Roman" w:hAnsi="Times New Roman"/>
          <w:sz w:val="20"/>
        </w:rPr>
        <w:t xml:space="preserve">(b) offer for subscription or sale pro rata to the holders of the outstanding shares any additional shares of any class or series of the Companys stock (other than pursuant to contractual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(c) effect any reclassification, exchange, combination, substitution, reorganization or recapitalization of the outstanding shares of the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effect an Acquisition or to liquidate, dissolve or wind up; or </w:t>
      </w:r>
    </w:p>
    <w:p>
      <w:pPr>
        <w:pStyle w:val="TextBody"/>
        <w:bidi w:val="0"/>
        <w:spacing w:before="120" w:after="0"/>
        <w:jc w:val="left"/>
        <w:rPr>
          <w:rFonts w:ascii="Times New Roman" w:hAnsi="Times New Roman"/>
          <w:sz w:val="20"/>
        </w:rPr>
      </w:pPr>
      <w:r>
        <w:rPr>
          <w:rFonts w:ascii="Times New Roman" w:hAnsi="Times New Roman"/>
          <w:sz w:val="20"/>
        </w:rPr>
        <w:t>(e) effect an initial, underwritten offering and sale of its securities to the public pursuant to an effective registration statement under the Act (the </w:t>
      </w:r>
      <w:r>
        <w:rPr>
          <w:rFonts w:ascii="Times New Roman" w:hAnsi="Times New Roman"/>
          <w:b/>
          <w:sz w:val="20"/>
        </w:rPr>
        <w:t>IPO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then, in connection with each such event, the Company shall give Holder: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the matters referred to in (c) and (d) above at least seven (7) Business Days prior written notice of the date when the same will take place (and specifying the date on which the holders of outstanding shares of the Common Stock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the IPO, at least seven (7) Business Days prior written notice of the date on which the Company proposes to file its registration statement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Company will also provide information requested by Holder that is reasonably necessary to enable Holder to comply with Holders accounting or reporting requirements. </w:t>
      </w:r>
    </w:p>
    <w:p>
      <w:pPr>
        <w:pStyle w:val="TextBody"/>
        <w:bidi w:val="0"/>
        <w:spacing w:before="480" w:after="0"/>
        <w:jc w:val="center"/>
        <w:rPr>
          <w:rFonts w:ascii="Times New Roman" w:hAnsi="Times New Roman"/>
          <w:sz w:val="20"/>
        </w:rPr>
      </w:pPr>
      <w:r>
        <w:rPr>
          <w:rFonts w:ascii="Times New Roman" w:hAnsi="Times New Roman"/>
          <w:sz w:val="20"/>
        </w:rPr>
        <w:t xml:space="preserve">SECTION 4.REPRESENTATIONS, WARRANTIES OF THE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Purchase for Own Account</w:t>
      </w:r>
      <w:r>
        <w:rPr>
          <w:rFonts w:ascii="Times New Roman" w:hAnsi="Times New Roman"/>
          <w:sz w:val="20"/>
        </w:rPr>
        <w:t xml:space="preserve">.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Disclosure of Information</w:t>
      </w:r>
      <w:r>
        <w:rPr>
          <w:rFonts w:ascii="Times New Roman" w:hAnsi="Times New Roman"/>
          <w:sz w:val="20"/>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Investment Experience</w:t>
      </w:r>
      <w:r>
        <w:rPr>
          <w:rFonts w:ascii="Times New Roman" w:hAnsi="Times New Roman"/>
          <w:sz w:val="20"/>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Accredited Investor Status</w:t>
      </w:r>
      <w:r>
        <w:rPr>
          <w:rFonts w:ascii="Times New Roman" w:hAnsi="Times New Roman"/>
          <w:sz w:val="20"/>
        </w:rPr>
        <w:t xml:space="preserve">. Holder is an accredited investor within the meaning of Regulation D promulgated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The Act</w:t>
      </w:r>
      <w:r>
        <w:rPr>
          <w:rFonts w:ascii="Times New Roman" w:hAnsi="Times New Roman"/>
          <w:sz w:val="20"/>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Market Stand-off Agreement</w:t>
      </w:r>
      <w:r>
        <w:rPr>
          <w:rFonts w:ascii="Times New Roman" w:hAnsi="Times New Roman"/>
          <w:sz w:val="20"/>
        </w:rPr>
        <w:t xml:space="preserve">. The Holder agrees that the Shares shall be subject to the Market Standoff provisions in Section 1.13 of the Investor Rights Agreement or similar agreement.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No Voting Rights</w:t>
      </w:r>
      <w:r>
        <w:rPr>
          <w:rFonts w:ascii="Times New Roman" w:hAnsi="Times New Roman"/>
          <w:sz w:val="20"/>
        </w:rPr>
        <w:t xml:space="preserve">. Holder, as a Holder of this Warrant, will not have any voting rights until the exercise of this Warrant. </w:t>
      </w:r>
    </w:p>
    <w:p>
      <w:pPr>
        <w:pStyle w:val="TextBody"/>
        <w:bidi w:val="0"/>
        <w:spacing w:before="480" w:after="0"/>
        <w:jc w:val="center"/>
        <w:rPr>
          <w:rFonts w:ascii="Times New Roman" w:hAnsi="Times New Roman"/>
          <w:sz w:val="20"/>
        </w:rPr>
      </w:pPr>
      <w:r>
        <w:rPr>
          <w:rFonts w:ascii="Times New Roman" w:hAnsi="Times New Roman"/>
          <w:sz w:val="20"/>
        </w:rPr>
        <w:t xml:space="preserve">SECTION 5.MISCELLANEOUS.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Term and Automatic Conversion Upon Expiration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w:t>
      </w:r>
      <w:r>
        <w:rPr>
          <w:rFonts w:ascii="Times New Roman" w:hAnsi="Times New Roman"/>
          <w:sz w:val="20"/>
        </w:rPr>
        <w:t xml:space="preserve">. Subject to the provisions of Section 1.6 above, this Warrant is exercisable in whole or in part at any time and from time to time on or before 6:00 PM, Pacific time, on the Expiration Date and shall be void thereafter.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Cashless Exercise upon Expiration</w:t>
      </w:r>
      <w:r>
        <w:rPr>
          <w:rFonts w:ascii="Times New Roman" w:hAnsi="Times New Roman"/>
          <w:sz w:val="20"/>
        </w:rPr>
        <w:t xml:space="preserve">.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Legends</w:t>
      </w:r>
      <w:r>
        <w:rPr>
          <w:rFonts w:ascii="Times New Roman" w:hAnsi="Times New Roman"/>
          <w:sz w:val="20"/>
        </w:rPr>
        <w:t xml:space="preserve">. The Shares (and the securities issuable, directly or indirectly, upon conversion of the Shares, if any) shall be imprinted with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THE SHARES EVIDENCED BY THIS CERTIFICATE HAVE NOT BEEN REGISTERED UNDER THE SECURITIES ACT OF 1933, AS AMENDED (THE </w:t>
      </w:r>
      <w:r>
        <w:rPr>
          <w:rFonts w:ascii="Times New Roman" w:hAnsi="Times New Roman"/>
          <w:b/>
          <w:sz w:val="20"/>
          <w:u w:val="single"/>
        </w:rPr>
        <w:t>ACT</w:t>
      </w:r>
      <w:r>
        <w:rPr>
          <w:rFonts w:ascii="Times New Roman" w:hAnsi="Times New Roman"/>
          <w:sz w:val="20"/>
        </w:rPr>
        <w:t xml:space="preserve">), OR THE SECURITIES LAWS OF ANY STATE AND, EXCEPT AS SET FORTH IN THAT CERTAIN WARRANT TO PURCHASE COMMON STOCK ISSUED BY THE ISSUER TO SILICON VALLEY BANK DATED APRIL 30, 2021, MAY NOT BE OFFERED, SOLD, PLEDGED OR OTHERWISE TRANSFERRED UNLESS AND UNTIL REGISTERED UNDER SAID ACT AND LAWS OR IN FORM AND SUBSTANCE SATISFACTORY TO THE ISSUER, SUCH OFFER, SALE, PLEDGE OR OTHER TRANSFER IS EXEMPT FROM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Compliance with Securities Laws on Transfer</w:t>
      </w:r>
      <w:r>
        <w:rPr>
          <w:rFonts w:ascii="Times New Roman" w:hAnsi="Times New Roman"/>
          <w:sz w:val="20"/>
        </w:rPr>
        <w:t xml:space="preserve">.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Transfer Procedure</w:t>
      </w:r>
      <w:r>
        <w:rPr>
          <w:rFonts w:ascii="Times New Roman" w:hAnsi="Times New Roman"/>
          <w:sz w:val="20"/>
        </w:rPr>
        <w:t xml:space="preserve">.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 </w:t>
      </w:r>
    </w:p>
    <w:p>
      <w:pPr>
        <w:pStyle w:val="TextBody"/>
        <w:bidi w:val="0"/>
        <w:spacing w:before="12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Notices</w:t>
      </w:r>
      <w:r>
        <w:rPr>
          <w:rFonts w:ascii="Times New Roman" w:hAnsi="Times New Roman"/>
          <w:sz w:val="20"/>
        </w:rPr>
        <w:t xml:space="preserve">.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 </w:t>
      </w:r>
    </w:p>
    <w:p>
      <w:pPr>
        <w:pStyle w:val="TextBody"/>
        <w:bidi w:val="0"/>
        <w:spacing w:before="120" w:after="0"/>
        <w:jc w:val="left"/>
        <w:rPr>
          <w:rFonts w:ascii="Times New Roman" w:hAnsi="Times New Roman"/>
          <w:sz w:val="20"/>
        </w:rPr>
      </w:pPr>
      <w:r>
        <w:rPr>
          <w:rFonts w:ascii="Times New Roman" w:hAnsi="Times New Roman"/>
          <w:sz w:val="20"/>
        </w:rPr>
        <w:t xml:space="preserve">SVB Financial Group </w:t>
      </w:r>
    </w:p>
    <w:p>
      <w:pPr>
        <w:pStyle w:val="TextBody"/>
        <w:bidi w:val="0"/>
        <w:spacing w:before="0" w:after="0"/>
        <w:jc w:val="left"/>
        <w:rPr>
          <w:rFonts w:ascii="Times New Roman" w:hAnsi="Times New Roman"/>
          <w:sz w:val="20"/>
        </w:rPr>
      </w:pPr>
      <w:r>
        <w:rPr>
          <w:rFonts w:ascii="Times New Roman" w:hAnsi="Times New Roman"/>
          <w:sz w:val="20"/>
        </w:rPr>
        <w:t xml:space="preserve">Attn: Treasury Department </w:t>
      </w:r>
    </w:p>
    <w:p>
      <w:pPr>
        <w:pStyle w:val="TextBody"/>
        <w:bidi w:val="0"/>
        <w:spacing w:before="0" w:after="0"/>
        <w:jc w:val="left"/>
        <w:rPr>
          <w:rFonts w:ascii="Times New Roman" w:hAnsi="Times New Roman"/>
          <w:sz w:val="20"/>
        </w:rPr>
      </w:pPr>
      <w:r>
        <w:rPr>
          <w:rFonts w:ascii="Times New Roman" w:hAnsi="Times New Roman"/>
          <w:sz w:val="20"/>
        </w:rPr>
        <w:t xml:space="preserve">3003 Tasman Drive, HC 215 </w:t>
      </w:r>
    </w:p>
    <w:p>
      <w:pPr>
        <w:pStyle w:val="TextBody"/>
        <w:bidi w:val="0"/>
        <w:spacing w:before="0" w:after="0"/>
        <w:jc w:val="left"/>
        <w:rPr>
          <w:rFonts w:ascii="Times New Roman" w:hAnsi="Times New Roman"/>
          <w:sz w:val="20"/>
        </w:rPr>
      </w:pPr>
      <w:r>
        <w:rPr>
          <w:rFonts w:ascii="Times New Roman" w:hAnsi="Times New Roman"/>
          <w:sz w:val="20"/>
        </w:rPr>
        <w:t xml:space="preserve">Santa Clara, California 95054 </w:t>
      </w:r>
    </w:p>
    <w:p>
      <w:pPr>
        <w:pStyle w:val="TextBody"/>
        <w:bidi w:val="0"/>
        <w:spacing w:before="0" w:after="0"/>
        <w:jc w:val="left"/>
        <w:rPr>
          <w:rFonts w:ascii="Times New Roman" w:hAnsi="Times New Roman"/>
          <w:sz w:val="20"/>
        </w:rPr>
      </w:pPr>
      <w:r>
        <w:rPr>
          <w:rFonts w:ascii="Times New Roman" w:hAnsi="Times New Roman"/>
          <w:sz w:val="20"/>
        </w:rPr>
        <w:t xml:space="preserve">Telephone: (408) 654-7400 </w:t>
      </w:r>
    </w:p>
    <w:p>
      <w:pPr>
        <w:pStyle w:val="TextBody"/>
        <w:bidi w:val="0"/>
        <w:spacing w:before="0" w:after="0"/>
        <w:jc w:val="left"/>
        <w:rPr>
          <w:rFonts w:ascii="Times New Roman" w:hAnsi="Times New Roman"/>
          <w:sz w:val="20"/>
        </w:rPr>
      </w:pPr>
      <w:r>
        <w:rPr>
          <w:rFonts w:ascii="Times New Roman" w:hAnsi="Times New Roman"/>
          <w:sz w:val="20"/>
        </w:rPr>
        <w:t xml:space="preserve">Facsimile: (408) 988-8317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 the Company shall be addressed as follows until Holder receives notice of a change in address: </w:t>
      </w:r>
    </w:p>
    <w:p>
      <w:pPr>
        <w:pStyle w:val="TextBody"/>
        <w:bidi w:val="0"/>
        <w:spacing w:before="120" w:after="0"/>
        <w:jc w:val="left"/>
        <w:rPr>
          <w:rFonts w:ascii="Times New Roman" w:hAnsi="Times New Roman"/>
          <w:sz w:val="20"/>
        </w:rPr>
      </w:pPr>
      <w:r>
        <w:rPr>
          <w:rFonts w:ascii="Times New Roman" w:hAnsi="Times New Roman"/>
          <w:sz w:val="20"/>
        </w:rPr>
        <w:t xml:space="preserve">Astera Labs, Inc. </w:t>
      </w:r>
    </w:p>
    <w:p>
      <w:pPr>
        <w:pStyle w:val="TextBody"/>
        <w:bidi w:val="0"/>
        <w:spacing w:before="0" w:after="0"/>
        <w:jc w:val="left"/>
        <w:rPr>
          <w:rFonts w:ascii="Times New Roman" w:hAnsi="Times New Roman"/>
          <w:sz w:val="20"/>
        </w:rPr>
      </w:pPr>
      <w:r>
        <w:rPr>
          <w:rFonts w:ascii="Times New Roman" w:hAnsi="Times New Roman"/>
          <w:sz w:val="20"/>
        </w:rPr>
        <w:t xml:space="preserve">Attn: Mike Tate, CFO </w:t>
      </w:r>
    </w:p>
    <w:p>
      <w:pPr>
        <w:pStyle w:val="TextBody"/>
        <w:bidi w:val="0"/>
        <w:spacing w:before="0" w:after="0"/>
        <w:jc w:val="left"/>
        <w:rPr>
          <w:rFonts w:ascii="Times New Roman" w:hAnsi="Times New Roman"/>
          <w:sz w:val="20"/>
        </w:rPr>
      </w:pPr>
      <w:r>
        <w:rPr>
          <w:rFonts w:ascii="Times New Roman" w:hAnsi="Times New Roman"/>
          <w:sz w:val="20"/>
        </w:rPr>
        <w:t xml:space="preserve">2901 Tasman Drive, Suite 204 </w:t>
      </w:r>
    </w:p>
    <w:p>
      <w:pPr>
        <w:pStyle w:val="TextBody"/>
        <w:bidi w:val="0"/>
        <w:spacing w:before="0" w:after="0"/>
        <w:jc w:val="left"/>
        <w:rPr>
          <w:rFonts w:ascii="Times New Roman" w:hAnsi="Times New Roman"/>
          <w:sz w:val="20"/>
        </w:rPr>
      </w:pPr>
      <w:r>
        <w:rPr>
          <w:rFonts w:ascii="Times New Roman" w:hAnsi="Times New Roman"/>
          <w:sz w:val="20"/>
        </w:rPr>
        <w:t xml:space="preserve">Santa Clara, California 95054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Waiver</w:t>
      </w:r>
      <w:r>
        <w:rPr>
          <w:rFonts w:ascii="Times New Roman" w:hAnsi="Times New Roman"/>
          <w:sz w:val="20"/>
        </w:rPr>
        <w:t xml:space="preserve">.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 </w:t>
      </w:r>
    </w:p>
    <w:p>
      <w:pPr>
        <w:pStyle w:val="TextBody"/>
        <w:bidi w:val="0"/>
        <w:spacing w:before="12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Attorneys Fees</w:t>
      </w:r>
      <w:r>
        <w:rPr>
          <w:rFonts w:ascii="Times New Roman" w:hAnsi="Times New Roman"/>
          <w:sz w:val="20"/>
        </w:rPr>
        <w:t xml:space="preserve">. In the event of any dispute between the parties concerning the terms and provisions of this Warrant, the party prevailing in such dispute shall be entitled to collect from the other party all costs incurred in such dispute, including reasonable attorneys fees. </w:t>
      </w:r>
    </w:p>
    <w:p>
      <w:pPr>
        <w:pStyle w:val="TextBody"/>
        <w:bidi w:val="0"/>
        <w:spacing w:before="12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Counterparts; Facsimile/Electronic Signatures</w:t>
      </w:r>
      <w:r>
        <w:rPr>
          <w:rFonts w:ascii="Times New Roman" w:hAnsi="Times New Roman"/>
          <w:sz w:val="20"/>
        </w:rPr>
        <w:t xml:space="preserve">. This Warrant may be executed in counterparts, all of which together shall constitute one and the same agreement. Company, Holder and any other party hereto may execute this Warrant by electronic means and each party hereto recognizes and accepts the use of electronic signatures and records by any 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The fact that this Warrant is executed, signed, stored or delivered electronically shall not prevent the transfer by any Holder of this Warrant pursuant to Section 5.4 or the enforcement of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This Warrant shall be governed by and construed in accordance with the laws of the State of California, without giving effect to its principles regarding conflicts of law. </w:t>
      </w:r>
    </w:p>
    <w:p>
      <w:pPr>
        <w:pStyle w:val="TextBody"/>
        <w:bidi w:val="0"/>
        <w:spacing w:before="12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Headings</w:t>
      </w:r>
      <w:r>
        <w:rPr>
          <w:rFonts w:ascii="Times New Roman" w:hAnsi="Times New Roman"/>
          <w:sz w:val="20"/>
        </w:rPr>
        <w:t xml:space="preserve">. The headings in this Warrant are for purposes of reference only and shall not limit or otherwise affect the meaning of any provision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Business Days</w:t>
      </w:r>
      <w:r>
        <w:rPr>
          <w:rFonts w:ascii="Times New Roman" w:hAnsi="Times New Roman"/>
          <w:sz w:val="20"/>
        </w:rPr>
        <w:t>. </w:t>
      </w:r>
      <w:r>
        <w:rPr>
          <w:rFonts w:ascii="Times New Roman" w:hAnsi="Times New Roman"/>
          <w:b/>
          <w:sz w:val="20"/>
          <w:u w:val="single"/>
        </w:rPr>
        <w:t>Business Day</w:t>
      </w:r>
      <w:r>
        <w:rPr>
          <w:rFonts w:ascii="Times New Roman" w:hAnsi="Times New Roman"/>
          <w:sz w:val="20"/>
        </w:rPr>
        <w:t xml:space="preserve"> is any day that is not a Saturday, Sunday or a day on which Silicon Valley Bank is closed.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blank intentionally]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Warrant to Purchase Common Stock to be executed by their duly authorized representatives effective as of the Issue Date written above. </w:t>
      </w:r>
    </w:p>
    <w:p>
      <w:pPr>
        <w:pStyle w:val="TextBody"/>
        <w:bidi w:val="0"/>
        <w:spacing w:before="240" w:after="0"/>
        <w:jc w:val="left"/>
        <w:rPr>
          <w:rFonts w:ascii="Times New Roman" w:hAnsi="Times New Roman"/>
          <w:sz w:val="20"/>
        </w:rPr>
      </w:pPr>
      <w:r>
        <w:rPr>
          <w:rFonts w:ascii="Times New Roman" w:hAnsi="Times New Roman"/>
          <w:sz w:val="20"/>
        </w:rPr>
        <w:t xml:space="preserve">COMPANY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0"/>
        <w:gridCol w:w="92"/>
        <w:gridCol w:w="3620"/>
      </w:tblGrid>
      <w:tr>
        <w:trPr/>
        <w:tc>
          <w:tcPr>
            <w:tcW w:w="37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ASTERA LABS, INC.</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Jitendra Mohan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Jitendra Mohan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Title: CEO and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SILICON VALLEY BANK</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92"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Janice Ahn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Janice Ahn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Warrant to Purchase Common Stock]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APPENDIX 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NOTICE OF EXERCISE </w:t>
      </w:r>
    </w:p>
    <w:p>
      <w:pPr>
        <w:pStyle w:val="TextBody"/>
        <w:bidi w:val="0"/>
        <w:spacing w:before="240" w:after="0"/>
        <w:jc w:val="left"/>
        <w:rPr>
          <w:rFonts w:ascii="Times New Roman" w:hAnsi="Times New Roman"/>
          <w:sz w:val="20"/>
        </w:rPr>
      </w:pPr>
      <w:r>
        <w:rPr>
          <w:rFonts w:ascii="Times New Roman" w:hAnsi="Times New Roman"/>
          <w:sz w:val="20"/>
        </w:rPr>
        <w:t>1. The undersigned Holder hereby exercises its right to purchase __________ shares of the Common Stock of __________________, a _______________ corporation (the </w:t>
      </w:r>
      <w:r>
        <w:rPr>
          <w:rFonts w:ascii="Times New Roman" w:hAnsi="Times New Roman"/>
          <w:b/>
          <w:sz w:val="20"/>
          <w:u w:val="single"/>
        </w:rPr>
        <w:t>Company</w:t>
      </w:r>
      <w:r>
        <w:rPr>
          <w:rFonts w:ascii="Times New Roman" w:hAnsi="Times New Roman"/>
          <w:sz w:val="20"/>
        </w:rPr>
        <w:t xml:space="preserve">) in accordance with the attached Warrant to Purchase Common Stock, and tenders payment of the aggregate Warrant Price for such shares as follows: </w:t>
      </w:r>
    </w:p>
    <w:p>
      <w:pPr>
        <w:pStyle w:val="TextBody"/>
        <w:bidi w:val="0"/>
        <w:spacing w:before="240" w:after="0"/>
        <w:jc w:val="left"/>
        <w:rPr>
          <w:rFonts w:ascii="Times New Roman" w:hAnsi="Times New Roman"/>
          <w:sz w:val="20"/>
        </w:rPr>
      </w:pPr>
      <w:r>
        <w:rPr>
          <w:rFonts w:ascii="Times New Roman" w:hAnsi="Times New Roman"/>
          <w:sz w:val="20"/>
        </w:rPr>
        <w:t xml:space="preserve">[    ] check in the amount of $____ payable to order of the Company enclosed herewith </w:t>
      </w:r>
    </w:p>
    <w:p>
      <w:pPr>
        <w:pStyle w:val="TextBody"/>
        <w:bidi w:val="0"/>
        <w:spacing w:before="240" w:after="0"/>
        <w:jc w:val="left"/>
        <w:rPr>
          <w:rFonts w:ascii="Times New Roman" w:hAnsi="Times New Roman"/>
          <w:sz w:val="20"/>
        </w:rPr>
      </w:pPr>
      <w:r>
        <w:rPr>
          <w:rFonts w:ascii="Times New Roman" w:hAnsi="Times New Roman"/>
          <w:sz w:val="20"/>
        </w:rPr>
        <w:t xml:space="preserve">[    ] Wire transfer of immediately available funds to the Companys account </w:t>
      </w:r>
    </w:p>
    <w:p>
      <w:pPr>
        <w:pStyle w:val="TextBody"/>
        <w:bidi w:val="0"/>
        <w:spacing w:before="240" w:after="0"/>
        <w:jc w:val="left"/>
        <w:rPr>
          <w:rFonts w:ascii="Times New Roman" w:hAnsi="Times New Roman"/>
          <w:sz w:val="20"/>
        </w:rPr>
      </w:pPr>
      <w:r>
        <w:rPr>
          <w:rFonts w:ascii="Times New Roman" w:hAnsi="Times New Roman"/>
          <w:sz w:val="20"/>
        </w:rPr>
        <w:t xml:space="preserve">[    ] Cashless Exercise pursuant to Section 1.2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    ] Other [Describe]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Please issue a certificate or certificates representing the Shares in the name specified below: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Holders Name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(Address) </w:t>
      </w:r>
    </w:p>
    <w:p>
      <w:pPr>
        <w:pStyle w:val="TextBody"/>
        <w:bidi w:val="0"/>
        <w:spacing w:before="240" w:after="0"/>
        <w:jc w:val="left"/>
        <w:rPr>
          <w:rFonts w:ascii="Times New Roman" w:hAnsi="Times New Roman"/>
          <w:sz w:val="20"/>
        </w:rPr>
      </w:pPr>
      <w:r>
        <w:rPr>
          <w:rFonts w:ascii="Times New Roman" w:hAnsi="Times New Roman"/>
          <w:sz w:val="20"/>
        </w:rPr>
        <w:t xml:space="preserve">3. By its execution below and for the benefit of the Company, Holder hereby restates each of the representations and warranties in Section 4 of the Warrant to Purchase Common Stock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52"/>
        <w:gridCol w:w="60"/>
        <w:gridCol w:w="3270"/>
      </w:tblGrid>
      <w:tr>
        <w:trPr/>
        <w:tc>
          <w:tcPr>
            <w:tcW w:w="7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HOLDER:</w:t>
            </w:r>
          </w:p>
          <w:p>
            <w:pPr>
              <w:pStyle w:val="TableContents"/>
              <w:pBdr>
                <w:bottom w:val="single" w:sz="2" w:space="1" w:color="000000"/>
              </w:pBdr>
              <w:bidi w:val="0"/>
              <w:spacing w:before="0" w:after="20"/>
              <w:jc w:val="left"/>
              <w:rPr/>
            </w:pPr>
            <w:r>
              <w:rPr/>
              <w:t>     </w:t>
            </w:r>
          </w:p>
        </w:tc>
      </w:tr>
      <w:tr>
        <w:trPr>
          <w:trHeight w:val="240" w:hRule="atLeast"/>
        </w:trPr>
        <w:tc>
          <w:tcPr>
            <w:tcW w:w="752"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pPr>
            <w:r>
              <w:rPr/>
              <w:t> </w:t>
            </w:r>
          </w:p>
        </w:tc>
      </w:tr>
      <w:tr>
        <w:trPr>
          <w:trHeight w:val="240" w:hRule="atLeast"/>
        </w:trPr>
        <w:tc>
          <w:tcPr>
            <w:tcW w:w="752"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pPr>
            <w:r>
              <w:rPr/>
              <w:t> </w:t>
            </w:r>
          </w:p>
        </w:tc>
      </w:tr>
      <w:tr>
        <w:trPr>
          <w:trHeight w:val="240" w:hRule="atLeast"/>
        </w:trPr>
        <w:tc>
          <w:tcPr>
            <w:tcW w:w="752"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pPr>
            <w:r>
              <w:rPr/>
              <w:t> </w:t>
            </w:r>
          </w:p>
        </w:tc>
      </w:tr>
      <w:tr>
        <w:trPr>
          <w:trHeight w:val="240" w:hRule="atLeast"/>
        </w:trPr>
        <w:tc>
          <w:tcPr>
            <w:tcW w:w="752" w:type="dxa"/>
            <w:tcBorders/>
            <w:vAlign w:val="center"/>
          </w:tcPr>
          <w:p>
            <w:pPr>
              <w:pStyle w:val="TableContents"/>
              <w:bidi w:val="0"/>
              <w:spacing w:before="0" w:after="283"/>
              <w:jc w:val="left"/>
              <w:rPr>
                <w:sz w:val="4"/>
                <w:szCs w:val="4"/>
              </w:rPr>
            </w:pPr>
            <w:r>
              <w:rPr>
                <w:sz w:val="4"/>
                <w:szCs w:val="4"/>
              </w:rPr>
            </w:r>
          </w:p>
        </w:tc>
        <w:tc>
          <w:tcPr>
            <w:tcW w:w="3330"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27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Appendix 1 </w:t>
      </w:r>
    </w:p>
    <w:p>
      <w:pPr>
        <w:pStyle w:val="TextBody"/>
        <w:bidi w:val="0"/>
        <w:spacing w:before="0" w:after="0"/>
        <w:jc w:val="right"/>
        <w:rPr>
          <w:rFonts w:ascii="Times New Roman" w:hAnsi="Times New Roman"/>
          <w:b/>
          <w:sz w:val="20"/>
        </w:rPr>
      </w:pPr>
      <w:bookmarkStart w:id="61" w:name="d285484dex1013.htm"/>
      <w:bookmarkStart w:id="62" w:name="ksd285484dex1013"/>
      <w:bookmarkEnd w:id="61"/>
      <w:bookmarkEnd w:id="62"/>
      <w:r>
        <w:rPr>
          <w:rFonts w:ascii="Times New Roman" w:hAnsi="Times New Roman"/>
          <w:b/>
          <w:sz w:val="20"/>
        </w:rPr>
        <w:t xml:space="preserve">Exhibit 10.13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 Certain information in this document has been excluded pursuant to Regulation S-K, Item 601(b)(10). Such excluded information is not material and is of the type that the registrant treats as private and confidential. </w:t>
      </w:r>
    </w:p>
    <w:p>
      <w:pPr>
        <w:pStyle w:val="TextBody"/>
        <w:bidi w:val="0"/>
        <w:spacing w:before="240" w:after="0"/>
        <w:jc w:val="left"/>
        <w:rPr>
          <w:rFonts w:ascii="Times New Roman" w:hAnsi="Times New Roman"/>
          <w:sz w:val="20"/>
        </w:rPr>
      </w:pPr>
      <w:r>
        <w:rPr>
          <w:rFonts w:ascii="Times New Roman" w:hAnsi="Times New Roman"/>
          <w:sz w:val="20"/>
        </w:rPr>
        <w:t>THIS WARRANT AND THE SECURITIES ISSUABLE UPON THE EXERCISE HEREOF HAVE NOT BEEN REGISTERED UNDER THE SECURITIES ACT OF 1933, AS AMENDED (THE </w:t>
      </w:r>
      <w:r>
        <w:rPr>
          <w:rFonts w:ascii="Times New Roman" w:hAnsi="Times New Roman"/>
          <w:b/>
          <w:i/>
          <w:sz w:val="20"/>
        </w:rPr>
        <w:t>SECURITIES ACT</w:t>
      </w:r>
      <w:r>
        <w:rPr>
          <w:rFonts w:ascii="Times New Roman" w:hAnsi="Times New Roman"/>
          <w:sz w:val="20"/>
        </w:rPr>
        <w:t xml:space="preserve">), AND MAY NOT BE SOLD, DISTRIBUTED, ASSIGNED, OFFERED, PLEDGED, OR OTHERWISE TRANSFERRED UNLESS (A) THERE IS AN EFFECTIVE REGISTRATION STATEMENT UNDER THE SECURITIES ACT COVERING SUCH TRANSACTION, OR (B) SUCH TRANSACTION IS EXEMPT FROM REGISTRATION UNDER THE SECURITIES ACT. </w:t>
      </w:r>
    </w:p>
    <w:p>
      <w:pPr>
        <w:pStyle w:val="TextBody"/>
        <w:bidi w:val="0"/>
        <w:spacing w:before="360" w:after="0"/>
        <w:jc w:val="left"/>
        <w:rPr>
          <w:rFonts w:ascii="Times New Roman" w:hAnsi="Times New Roman"/>
          <w:sz w:val="20"/>
        </w:rPr>
      </w:pPr>
      <w:r>
        <w:rPr>
          <w:rFonts w:ascii="Times New Roman" w:hAnsi="Times New Roman"/>
          <w:sz w:val="20"/>
        </w:rPr>
        <w:t xml:space="preserve">Issue Date: October 14, 2022 </w:t>
      </w:r>
    </w:p>
    <w:p>
      <w:pPr>
        <w:pStyle w:val="TextBody"/>
        <w:bidi w:val="0"/>
        <w:spacing w:before="48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WARRANT TO PURCHASE SHARES </w:t>
      </w:r>
    </w:p>
    <w:p>
      <w:pPr>
        <w:pStyle w:val="TextBody"/>
        <w:bidi w:val="0"/>
        <w:spacing w:before="240" w:after="0"/>
        <w:jc w:val="left"/>
        <w:rPr>
          <w:rFonts w:ascii="Times New Roman" w:hAnsi="Times New Roman"/>
          <w:sz w:val="20"/>
        </w:rPr>
      </w:pPr>
      <w:r>
        <w:rPr>
          <w:rFonts w:ascii="Times New Roman" w:hAnsi="Times New Roman"/>
          <w:sz w:val="20"/>
        </w:rPr>
        <w:t>This Warrant is issued to Amazon.com NV Investment Holdings LLC (the </w:t>
      </w:r>
      <w:r>
        <w:rPr>
          <w:rFonts w:ascii="Times New Roman" w:hAnsi="Times New Roman"/>
          <w:b/>
          <w:i/>
          <w:sz w:val="20"/>
        </w:rPr>
        <w:t>Holder</w:t>
      </w:r>
      <w:r>
        <w:rPr>
          <w:rFonts w:ascii="Times New Roman" w:hAnsi="Times New Roman"/>
          <w:sz w:val="20"/>
        </w:rPr>
        <w:t>) by Astera Labs, Inc. (the </w:t>
      </w:r>
      <w:r>
        <w:rPr>
          <w:rFonts w:ascii="Times New Roman" w:hAnsi="Times New Roman"/>
          <w:b/>
          <w:i/>
          <w:sz w:val="20"/>
        </w:rPr>
        <w:t>Company</w:t>
      </w:r>
      <w:r>
        <w:rPr>
          <w:rFonts w:ascii="Times New Roman" w:hAnsi="Times New Roman"/>
          <w:sz w:val="20"/>
        </w:rPr>
        <w:t>). The Holder is entitled to exercise this Warrant to purchase equity of the Company (the </w:t>
      </w:r>
      <w:r>
        <w:rPr>
          <w:rFonts w:ascii="Times New Roman" w:hAnsi="Times New Roman"/>
          <w:b/>
          <w:i/>
          <w:sz w:val="20"/>
        </w:rPr>
        <w:t>Warrant Shares</w:t>
      </w:r>
      <w:r>
        <w:rPr>
          <w:rFonts w:ascii="Times New Roman" w:hAnsi="Times New Roman"/>
          <w:sz w:val="20"/>
        </w:rPr>
        <w:t xml:space="preserve">) as more particularly described in </w:t>
      </w:r>
      <w:r>
        <w:rPr>
          <w:rFonts w:ascii="Times New Roman" w:hAnsi="Times New Roman"/>
          <w:b/>
          <w:i/>
          <w:sz w:val="20"/>
        </w:rPr>
        <w:t>Exhibit</w:t>
      </w:r>
      <w:r>
        <w:rPr>
          <w:rFonts w:ascii="Times New Roman" w:hAnsi="Times New Roman"/>
          <w:sz w:val="20"/>
        </w:rPr>
        <w:t> </w:t>
      </w:r>
      <w:r>
        <w:rPr>
          <w:rFonts w:ascii="Times New Roman" w:hAnsi="Times New Roman"/>
          <w:b/>
          <w:i/>
          <w:sz w:val="20"/>
        </w:rPr>
        <w:t>A</w:t>
      </w:r>
      <w:r>
        <w:rPr>
          <w:rFonts w:ascii="Times New Roman" w:hAnsi="Times New Roman"/>
          <w:sz w:val="20"/>
        </w:rPr>
        <w:t xml:space="preserve"> hereto (the </w:t>
      </w:r>
      <w:r>
        <w:rPr>
          <w:rFonts w:ascii="Times New Roman" w:hAnsi="Times New Roman"/>
          <w:b/>
          <w:i/>
          <w:sz w:val="20"/>
        </w:rPr>
        <w:t>Schedule of Terms</w:t>
      </w:r>
      <w:r>
        <w:rPr>
          <w:rFonts w:ascii="Times New Roman" w:hAnsi="Times New Roman"/>
          <w:sz w:val="20"/>
        </w:rPr>
        <w:t xml:space="preserve">), on the terms provided herein and in the Schedule of Terms. The Warrant Shares will vest and become exercisable in accordance with the vesting terms provided in the Schedule of Terms, and this Warrant is non-forfeitable with respect to vested Warrant Shares. </w:t>
      </w:r>
    </w:p>
    <w:p>
      <w:pPr>
        <w:pStyle w:val="TextBody"/>
        <w:bidi w:val="0"/>
        <w:spacing w:before="360" w:after="0"/>
        <w:jc w:val="left"/>
        <w:rPr>
          <w:rFonts w:ascii="Times New Roman" w:hAnsi="Times New Roman"/>
          <w:b/>
          <w:sz w:val="20"/>
        </w:rPr>
      </w:pPr>
      <w:r>
        <w:rPr>
          <w:rFonts w:ascii="Times New Roman" w:hAnsi="Times New Roman"/>
          <w:b/>
          <w:sz w:val="20"/>
        </w:rPr>
        <w:t xml:space="preserve">1. Exercise of Warrant </w:t>
      </w:r>
    </w:p>
    <w:p>
      <w:pPr>
        <w:pStyle w:val="TextBody"/>
        <w:bidi w:val="0"/>
        <w:spacing w:before="120" w:after="0"/>
        <w:jc w:val="left"/>
        <w:rPr>
          <w:rFonts w:ascii="Times New Roman" w:hAnsi="Times New Roman"/>
          <w:sz w:val="20"/>
        </w:rPr>
      </w:pPr>
      <w:r>
        <w:rPr>
          <w:rFonts w:ascii="Times New Roman" w:hAnsi="Times New Roman"/>
          <w:b/>
          <w:sz w:val="20"/>
        </w:rPr>
        <w:t xml:space="preserve">1.1 Exercise Period. </w:t>
      </w:r>
      <w:r>
        <w:rPr>
          <w:rFonts w:ascii="Times New Roman" w:hAnsi="Times New Roman"/>
          <w:sz w:val="20"/>
        </w:rPr>
        <w:t xml:space="preserve">This Warrant may be exercised by the Holder, in whole or in part, at any time during the Exercise Period (as defined in the Schedule of Terms). </w:t>
      </w:r>
    </w:p>
    <w:p>
      <w:pPr>
        <w:pStyle w:val="TextBody"/>
        <w:bidi w:val="0"/>
        <w:spacing w:before="120" w:after="0"/>
        <w:jc w:val="left"/>
        <w:rPr>
          <w:rFonts w:ascii="Times New Roman" w:hAnsi="Times New Roman"/>
          <w:sz w:val="20"/>
        </w:rPr>
      </w:pPr>
      <w:r>
        <w:rPr>
          <w:rFonts w:ascii="Times New Roman" w:hAnsi="Times New Roman"/>
          <w:b/>
          <w:sz w:val="20"/>
        </w:rPr>
        <w:t>1.2 Method of Exercise.</w:t>
      </w:r>
      <w:r>
        <w:rPr>
          <w:rFonts w:ascii="Times New Roman" w:hAnsi="Times New Roman"/>
          <w:sz w:val="20"/>
        </w:rPr>
        <w:t xml:space="preserve"> The Holder may exercise this Warrant by delivering to the Company (a) this Warrant and (b) the Notice of Exercise attached as </w:t>
      </w:r>
      <w:r>
        <w:rPr>
          <w:rFonts w:ascii="Times New Roman" w:hAnsi="Times New Roman"/>
          <w:b/>
          <w:i/>
          <w:sz w:val="20"/>
        </w:rPr>
        <w:t>Exhibit</w:t>
      </w:r>
      <w:r>
        <w:rPr>
          <w:rFonts w:ascii="Times New Roman" w:hAnsi="Times New Roman"/>
          <w:sz w:val="20"/>
        </w:rPr>
        <w:t> </w:t>
      </w:r>
      <w:r>
        <w:rPr>
          <w:rFonts w:ascii="Times New Roman" w:hAnsi="Times New Roman"/>
          <w:b/>
          <w:i/>
          <w:sz w:val="20"/>
        </w:rPr>
        <w:t>B</w:t>
      </w:r>
      <w:r>
        <w:rPr>
          <w:rFonts w:ascii="Times New Roman" w:hAnsi="Times New Roman"/>
          <w:sz w:val="20"/>
        </w:rPr>
        <w:t xml:space="preserve"> hereto, duly executed by the Holder, indicating whether the Holder elects to purchase Warrant Shares for cash or if the Holder elects to exercise on a net issuance basis. In the event any approval requirements or waiting periods are imposed by applicable antitrust or foreign investment laws or any other applicable law, the Holder may deliver a Notice of Exercise that is contingent upon obtaining such approval or the expiration of such waiting period, and the Exercise Period will be stayed during the pendency of such approval or waiting period so long as the Holder delivers the Notice of Exercise before the expiration of the Exercise Period. </w:t>
      </w:r>
    </w:p>
    <w:p>
      <w:pPr>
        <w:pStyle w:val="TextBody"/>
        <w:bidi w:val="0"/>
        <w:spacing w:before="120" w:after="0"/>
        <w:jc w:val="left"/>
        <w:rPr>
          <w:rFonts w:ascii="Times New Roman" w:hAnsi="Times New Roman"/>
          <w:sz w:val="20"/>
        </w:rPr>
      </w:pPr>
      <w:r>
        <w:rPr>
          <w:rFonts w:ascii="Times New Roman" w:hAnsi="Times New Roman"/>
          <w:b/>
          <w:sz w:val="20"/>
        </w:rPr>
        <w:t xml:space="preserve">1.3 Cash Exercise. </w:t>
      </w:r>
      <w:r>
        <w:rPr>
          <w:rFonts w:ascii="Times New Roman" w:hAnsi="Times New Roman"/>
          <w:sz w:val="20"/>
        </w:rPr>
        <w:t xml:space="preserve">If the Holder elects to exercise this Warrant to purchase Warrant Shares for cash, the Holder will make payment by check or wire transfer in the amount of the Exercise Price (as defined in the Schedule of Terms, subject to adjustment as provided herein) multiplied by the number of Warrant Shares for which this Warrant is being exercised. The Exercise Price is the product of an arms-length negotiation and is intended to reflect the present fair market value of the Warrant Shares. </w:t>
      </w:r>
    </w:p>
    <w:p>
      <w:pPr>
        <w:pStyle w:val="TextBody"/>
        <w:bidi w:val="0"/>
        <w:spacing w:before="120" w:after="0"/>
        <w:jc w:val="left"/>
        <w:rPr>
          <w:rFonts w:ascii="Times New Roman" w:hAnsi="Times New Roman"/>
          <w:sz w:val="20"/>
        </w:rPr>
      </w:pPr>
      <w:r>
        <w:rPr>
          <w:rFonts w:ascii="Times New Roman" w:hAnsi="Times New Roman"/>
          <w:b/>
          <w:sz w:val="20"/>
        </w:rPr>
        <w:t>1.4 Net Issuance.</w:t>
      </w:r>
      <w:r>
        <w:rPr>
          <w:rFonts w:ascii="Times New Roman" w:hAnsi="Times New Roman"/>
          <w:sz w:val="20"/>
        </w:rPr>
        <w:t xml:space="preserve"> If the Holder elects to exercise this Warrant on a net issuance basis, the Holder will not be required to make a cash payment, and the Company will issue to the Holder a number of Warrant Shares computed using the following formula: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5"/>
        <w:gridCol w:w="126"/>
        <w:gridCol w:w="9414"/>
      </w:tblGrid>
      <w:tr>
        <w:trPr/>
        <w:tc>
          <w:tcPr>
            <w:tcW w:w="66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414" w:type="dxa"/>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X =</w:t>
            </w:r>
          </w:p>
        </w:tc>
        <w:tc>
          <w:tcPr>
            <w:tcW w:w="12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 - B) x C</w:t>
            </w:r>
            <w:r>
              <w:rPr>
                <w:rFonts w:ascii="Times New Roman" w:hAnsi="Times New Roman"/>
                <w:sz w:val="20"/>
              </w:rPr>
              <w:t xml:space="preserve"> where:</w:t>
            </w:r>
          </w:p>
          <w:p>
            <w:pPr>
              <w:pStyle w:val="TableContents"/>
              <w:bidi w:val="0"/>
              <w:spacing w:before="0" w:after="20"/>
              <w:jc w:val="left"/>
              <w:rPr>
                <w:rFonts w:ascii="Times New Roman" w:hAnsi="Times New Roman"/>
                <w:sz w:val="20"/>
              </w:rPr>
            </w:pPr>
            <w:r>
              <w:rPr>
                <w:rFonts w:ascii="Times New Roman" w:hAnsi="Times New Roman"/>
                <w:sz w:val="20"/>
              </w:rPr>
              <w:t>A</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X =</w:t>
            </w:r>
          </w:p>
        </w:tc>
        <w:tc>
          <w:tcPr>
            <w:tcW w:w="12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the number of Warrant Shares to be issued to the Holder;</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2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the Fair Market Value (as defined below) of one Warrant Share on the date of net issuance exercise;</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B =</w:t>
            </w:r>
          </w:p>
        </w:tc>
        <w:tc>
          <w:tcPr>
            <w:tcW w:w="12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the Exercise Price (as adjusted to the date of such calculation); and</w:t>
            </w:r>
          </w:p>
        </w:tc>
      </w:tr>
      <w:tr>
        <w:trPr/>
        <w:tc>
          <w:tcPr>
            <w:tcW w:w="665" w:type="dxa"/>
            <w:tcBorders/>
          </w:tcPr>
          <w:p>
            <w:pPr>
              <w:pStyle w:val="TableContents"/>
              <w:bidi w:val="0"/>
              <w:spacing w:before="0" w:after="0"/>
              <w:jc w:val="left"/>
              <w:rPr>
                <w:rFonts w:ascii="Times New Roman" w:hAnsi="Times New Roman"/>
                <w:sz w:val="20"/>
              </w:rPr>
            </w:pPr>
            <w:r>
              <w:rPr>
                <w:rFonts w:ascii="Times New Roman" w:hAnsi="Times New Roman"/>
                <w:sz w:val="20"/>
              </w:rPr>
              <w:t>C =</w:t>
            </w:r>
          </w:p>
        </w:tc>
        <w:tc>
          <w:tcPr>
            <w:tcW w:w="126" w:type="dxa"/>
            <w:tcBorders/>
            <w:vAlign w:val="bottom"/>
          </w:tcPr>
          <w:p>
            <w:pPr>
              <w:pStyle w:val="TableContents"/>
              <w:bidi w:val="0"/>
              <w:spacing w:before="0" w:after="283"/>
              <w:jc w:val="left"/>
              <w:rPr/>
            </w:pPr>
            <w:r>
              <w:rPr/>
              <w:t>  </w:t>
            </w:r>
          </w:p>
        </w:tc>
        <w:tc>
          <w:tcPr>
            <w:tcW w:w="9414" w:type="dxa"/>
            <w:tcBorders/>
          </w:tcPr>
          <w:p>
            <w:pPr>
              <w:pStyle w:val="TableContents"/>
              <w:bidi w:val="0"/>
              <w:spacing w:before="0" w:after="283"/>
              <w:jc w:val="left"/>
              <w:rPr/>
            </w:pPr>
            <w:r>
              <w:rPr/>
              <w:t>the number of Warrant Shares issuable under this Warrant or, if only a portion of this Warrant is being exercised, the number of Warrant Shares as to which the Holder elects to exercise.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2. Delivery of Certificates; 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Within five days after exercise of this Warrant, the Company will at its expense issue and deliver to the Holder (a) at Holders election either (i) if the Company is legally permitted to reflect share issuances in book entry or dematerialized form, an electronic representation or other evidence of the valid issuance of the Warrant Shares as to which this Warrant has been exercised, (ii) a physical certificate or certificates for the Warrant Shares as to which this Warrant has been exercised, or (iii) if a Listing Event has occurred and if legally permitted, unlegended Warrant Shares as to which this Warrant has been exercised through the Depository Trust Company or in dematerialized form if outside the United States, including through CREST in the United Kingdom, and (b) if applicable, a new warrant with terms identical to this Warrant to purchase that number of Warrant Shares as to which this Warrant has not been exercised. The Holder will for all purposes be deemed to have become the holder of record of such Warrant Shares on the date this Warrant is exercised, irrespective of the date of delivery of certificate(s) representing the Warrant Shares. No fractional shares or scrip will be issued upon the exercise of this Warrant. In lieu of a fractional share or scrip, the Company will pay the Holder an amount in cash equal to the Fair Market Value of the fractional share on the date of exercise. </w:t>
      </w:r>
    </w:p>
    <w:p>
      <w:pPr>
        <w:pStyle w:val="TextBody"/>
        <w:bidi w:val="0"/>
        <w:spacing w:before="360" w:after="0"/>
        <w:jc w:val="left"/>
        <w:rPr>
          <w:rFonts w:ascii="Times New Roman" w:hAnsi="Times New Roman"/>
          <w:b/>
          <w:sz w:val="20"/>
        </w:rPr>
      </w:pPr>
      <w:r>
        <w:rPr>
          <w:rFonts w:ascii="Times New Roman" w:hAnsi="Times New Roman"/>
          <w:b/>
          <w:sz w:val="20"/>
        </w:rPr>
        <w:t xml:space="preserve">3. Representations, Warranties, and Covenants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The Company represents and warrants that it is duly organized, validly existing, and in good standing under the laws of its jurisdiction of formation. The Company represents and warrants that all corporate actions, approvals, and consents on the part of the Company, its officers, directors, and equityholders, and any third party necessary for the sale and issuance of this Warrant and the Warrant Shares have been taken, including the reservation of sufficient Warrant Shares.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The Company represents and warrants that the fully diluted capitalization table attached as </w:t>
      </w:r>
      <w:r>
        <w:rPr>
          <w:rFonts w:ascii="Times New Roman" w:hAnsi="Times New Roman"/>
          <w:b/>
          <w:i/>
          <w:sz w:val="20"/>
        </w:rPr>
        <w:t>Exhibit</w:t>
      </w:r>
      <w:r>
        <w:rPr>
          <w:rFonts w:ascii="Times New Roman" w:hAnsi="Times New Roman"/>
          <w:sz w:val="20"/>
        </w:rPr>
        <w:t> </w:t>
      </w:r>
      <w:r>
        <w:rPr>
          <w:rFonts w:ascii="Times New Roman" w:hAnsi="Times New Roman"/>
          <w:b/>
          <w:i/>
          <w:sz w:val="20"/>
        </w:rPr>
        <w:t>C</w:t>
      </w:r>
      <w:r>
        <w:rPr>
          <w:rFonts w:ascii="Times New Roman" w:hAnsi="Times New Roman"/>
          <w:sz w:val="20"/>
        </w:rPr>
        <w:t xml:space="preserve"> hereto accurately and completely reflects the Companys authorized and issued equity capital (including any options, warrants or employee incentive equity plans) as of the Issue Date. All of the outstanding shares of equity of the Company have been duly authorized, are fully paid and nonassessable, and were issued in compliance with applicable law. </w:t>
      </w:r>
    </w:p>
    <w:p>
      <w:pPr>
        <w:pStyle w:val="TextBody"/>
        <w:bidi w:val="0"/>
        <w:spacing w:before="120" w:after="0"/>
        <w:jc w:val="left"/>
        <w:rPr>
          <w:rFonts w:ascii="Times New Roman" w:hAnsi="Times New Roman"/>
          <w:sz w:val="20"/>
        </w:rPr>
      </w:pPr>
      <w:r>
        <w:rPr>
          <w:rFonts w:ascii="Times New Roman" w:hAnsi="Times New Roman"/>
          <w:b/>
          <w:sz w:val="20"/>
        </w:rPr>
        <w:t xml:space="preserve">3.3 </w:t>
      </w:r>
      <w:r>
        <w:rPr>
          <w:rFonts w:ascii="Times New Roman" w:hAnsi="Times New Roman"/>
          <w:sz w:val="20"/>
        </w:rPr>
        <w:t xml:space="preserve">The Company covenants that at all times during the Exercise Period there will be reserved for issuance such number of shares as is necessary for exercise in full of this Warrant. All Warrant Shares issued pursuant to the exercise of this Warrant will, upon their issuance, be validly issued and outstanding, fully paid and nonassessable, free and clear of all liens and other encumbrances or restrictions on sale, and free and clear of all preemptive rights, and such Warrant Shares will be issued free from all taxes, liens, and charges with respect to the issuance thereof. </w:t>
      </w:r>
    </w:p>
    <w:p>
      <w:pPr>
        <w:pStyle w:val="TextBody"/>
        <w:bidi w:val="0"/>
        <w:spacing w:before="12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The Company will not, directly or indirectly, by charter amendment or by reorganization, sale or transfer of assets, consolidation, merger, dissolution, issuance or sale of securities, or any other voluntary action, (a) avoid or seek to avoid the observance or performance of any of the terms of this Warrant, but will at all times and in good faith assist in the carrying out of all such terms and in the taking of all such action as may be necessary or appropriate in order to protect the rights and interests of the Holder against impairment, or (b) take any action which is inconsistent with the rights and interests granted to the Holder in this Warrant or otherwise conflicts with the provisions hereof. </w:t>
      </w:r>
    </w:p>
    <w:p>
      <w:pPr>
        <w:pStyle w:val="TextBody"/>
        <w:bidi w:val="0"/>
        <w:spacing w:before="360" w:after="0"/>
        <w:jc w:val="left"/>
        <w:rPr>
          <w:rFonts w:ascii="Times New Roman" w:hAnsi="Times New Roman"/>
          <w:b/>
          <w:sz w:val="20"/>
        </w:rPr>
      </w:pPr>
      <w:r>
        <w:rPr>
          <w:rFonts w:ascii="Times New Roman" w:hAnsi="Times New Roman"/>
          <w:b/>
          <w:sz w:val="20"/>
        </w:rPr>
        <w:t xml:space="preserve">4. Certain Events </w:t>
      </w:r>
    </w:p>
    <w:p>
      <w:pPr>
        <w:pStyle w:val="TextBody"/>
        <w:bidi w:val="0"/>
        <w:spacing w:before="120" w:after="0"/>
        <w:jc w:val="left"/>
        <w:rPr>
          <w:rFonts w:ascii="Times New Roman" w:hAnsi="Times New Roman"/>
          <w:sz w:val="20"/>
        </w:rPr>
      </w:pPr>
      <w:r>
        <w:rPr>
          <w:rFonts w:ascii="Times New Roman" w:hAnsi="Times New Roman"/>
          <w:b/>
          <w:sz w:val="20"/>
        </w:rPr>
        <w:t>4.1 Change of Control.</w:t>
      </w:r>
      <w:r>
        <w:rPr>
          <w:rFonts w:ascii="Times New Roman" w:hAnsi="Times New Roman"/>
          <w:sz w:val="20"/>
        </w:rPr>
        <w:t xml:space="preserve"> If there is a Change of Control (as defined below) during the Exercise Period in which the consideration to be received by the stockholders of the Company consists solely of cash, solely of Marketable Equity Securities, or of a combination solely of cash and Marketable Equity Securities and the Holder has not exercised this Warrant in full prior to consummation of such Change of Control, and if the Fair Market Value of one Warrant Share (as of the closing date of such Change of Control) is greater than the Exercise Price, this Warrant will be deemed automatically exercised pursuant to a net issuance exercise under Section 1.4 (even if not surrendered) immediately before the consummation of such Change of Control, and the Holder will be entitled to receive a portion of the proceeds payable in the Change of Control equal to the amount payable to holders of the same number and class of shares as the Holder is entitled to receive pursuant to such exercise. This Warrant will automatically terminate (without relieving the Company or its successor of any obligations arising from a prior breach or non-compliance) following the payment of the amounts due to the Holder in connection with such Change of Control. If there is a Change of Control during the Exercise Period in which the consideration to be received by the stockholders of the Company consists of securities or other non-cash property (other than Marketable Equity Securities), then the Company will cause the acquiring, surviving, or successor person to assume the obligations of this Warrant, and this Warrant will thereafter be exercisable for the same securities or other non-cash property that a holder of the same class of shares as the Warrant Shares would have been entitled to receive in connection with such transaction if such holder held the same number of shares as were purchasable under this Warrant if this Warrant had been exercised in full immediately before the consummation of such Change of Control, subject to further adjustment from time to time in accordance with the provisions of this Warrant. As used herein, </w:t>
      </w:r>
      <w:r>
        <w:rPr>
          <w:rFonts w:ascii="Times New Roman" w:hAnsi="Times New Roman"/>
          <w:b/>
          <w:i/>
          <w:sz w:val="20"/>
        </w:rPr>
        <w:t>Marketable Equity Securities</w:t>
      </w:r>
      <w:r>
        <w:rPr>
          <w:rFonts w:ascii="Times New Roman" w:hAnsi="Times New Roman"/>
          <w:sz w:val="20"/>
        </w:rPr>
        <w:t xml:space="preserve"> means equity securities meeting the following requirements: (i) the issuer thereof is then subject to the reporting requirements of Section 13 or Section 15(d) of the Exchange Act, and is then current in its filing of all required reports and other information under the Act and the Exchange Act; (ii) the securities are then traded on the New York Stock Exchange, Nasdaq or London Stock Exchange, and (iii) the Holder would not be restricted from publicly re-selling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4.2 Listing Event. </w:t>
      </w:r>
    </w:p>
    <w:p>
      <w:pPr>
        <w:pStyle w:val="TextBody"/>
        <w:bidi w:val="0"/>
        <w:spacing w:before="240" w:after="0"/>
        <w:jc w:val="left"/>
        <w:rPr>
          <w:rFonts w:ascii="Times New Roman" w:hAnsi="Times New Roman"/>
          <w:sz w:val="20"/>
        </w:rPr>
      </w:pPr>
      <w:r>
        <w:rPr>
          <w:rFonts w:ascii="Times New Roman" w:hAnsi="Times New Roman"/>
          <w:sz w:val="20"/>
        </w:rPr>
        <w:t>(a) In the event that the Company intends to undertake a Listing Event (as defined in Section 10.1(f)), the Company will provide the Holder with notice no less than 14 days prior to initially filing or submitting a registration statement (including a draft registration statement) or listing application to any governmental securities regulator, securities self-regulatory organization or stock exchange that includes disclosure of beneficial owners of the Companys equity in connection with a Listing Event (a </w:t>
      </w:r>
      <w:r>
        <w:rPr>
          <w:rFonts w:ascii="Times New Roman" w:hAnsi="Times New Roman"/>
          <w:b/>
          <w:i/>
          <w:sz w:val="20"/>
        </w:rPr>
        <w:t>Listing Event Notice</w:t>
      </w:r>
      <w:r>
        <w:rPr>
          <w:rFonts w:ascii="Times New Roman" w:hAnsi="Times New Roman"/>
          <w:sz w:val="20"/>
        </w:rPr>
        <w:t xml:space="preserve">) and provide to the Holder a copy of such filing, submission, or application.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the Company determines that this Warrant or the terms hereof are required to be disclosed pursuant to applicable securities laws and regulations or stock exchange requirements in connection with the Listing Event, the Company will provide the Holder with prompt written notice and a reasonable opportunity to comment on the proposed disclosure before such disclosure is made and, if requested by the Holder, will use commercially reasonable efforts (in cooperation with the Holder) to redact, seek a protective order or confidential treatment, or take other appropriate action to avoid such disclosure.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in this Warrant to the contrary: (i) from and after the calendar day preceding the earliest of (A) the filing or submission of a registration statement (including a draft registration statement) that includes disclosure of beneficial owners of the Companys equity in connection with a Listing Event, (B) the as of date used by the Company or any successor or assign thereto for disclosure of beneficial owners in any registration statement and (C) the date that shares of the same class as the Warrant Shares are traded on an exchange or an over-the-counter market, the Company will not honor any exercise of this Warrant, and the Holder will not have the right to exercise any portion of this Warrant, to the extent that, after giving effect to an attempted exercise set forth on the applicable Notice of Exercise, the Holder (or any of its affiliates and other persons whose beneficial ownership of the relevant securities would be aggregated with Holders for purposes of Section 13(d) or Section 16 of the Exchange Act, would beneficially own in excess of 4.999% of any class of voting equity securities subject to the Exchange Act, calculated in accordance with Section 13(d) of the Exchange Act and the related rules and regulations and after giving effect to the exercise of this Warrant; (ii) none of the limitations of clause (i) will be taken into account when determining the amount of securities or other non-cash property subject to the assumed Warrant or the amount of cash the Holder is entitled to receive in the event of a Change of Control; (iii) the provisions of this sentence should be construed and implemented in a manner otherwise than in strict conformity with the terms of this sentence to correct this sentence (or any portion hereof) to the extent that it may be defective or inconsistent with the intended beneficial ownership limitation of clause (i) or make changes or supplements necessary or desirable to properly give effect to such limitation; and (iv) the limitations in clause (i) may be waived or amended by the Holder, in its sole discretion, upon written notice to the Company, which waiver or amendment will not be effective until the 61st day after such notice is delivered by the Holder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(d) Upon request by the Company prior to a Listing Event, the Holder will agree that it will not, without the prior written consent of the managing underwriter(s) in such Listing Event, during the period commencing on the date of the final prospectus relating to the Companys initial public offering and ending on the date specified by the managing underwriter (such period not to exceed 180 days) (i) lend, offer, pledge, sell, contract to sell, sell any option or contract to purchase, purchase any option or contract to sell, grant any option, right or warrant to purchase, or otherwise transfer or dispose of, directly or indirectly, any shares of the Companys capital stock acquired through the exercise of this Warrant, or (ii) enter into any swap or other arrangement that transfers to another, in whole or in part, any of the economic consequences of ownership of the Companys capital stock acquired through the exercise of this Warrant, whether any such transaction described in clause (i) or (ii) above is to be settled by delivery of securities, in cash or otherwise. The foregoing provisions of this Section shall apply solely to the Companys initial public offering, shall not apply to the sale of any shares to an underwriter pursuant to an underwriting agreement and shall only be applicable to the Holder if all officers, directors, and greater than 5% stockholders of the Company enter into similar agreements. Any discretionary waiver or termination by the Company or the underwriters of the restrictions of any substantially similar market stand-off agreement to which the Company is a party shall apply pro rata to the Holder, based on the number of shares subject to Holders market stand-off agreement pursuant to this Section. </w:t>
      </w:r>
    </w:p>
    <w:p>
      <w:pPr>
        <w:pStyle w:val="TextBody"/>
        <w:bidi w:val="0"/>
        <w:spacing w:before="120" w:after="0"/>
        <w:jc w:val="left"/>
        <w:rPr>
          <w:rFonts w:ascii="Times New Roman" w:hAnsi="Times New Roman"/>
          <w:sz w:val="20"/>
        </w:rPr>
      </w:pPr>
      <w:r>
        <w:rPr>
          <w:rFonts w:ascii="Times New Roman" w:hAnsi="Times New Roman"/>
          <w:b/>
          <w:sz w:val="20"/>
        </w:rPr>
        <w:t>4.3 Automatic Exercise before Expiration.</w:t>
      </w:r>
      <w:r>
        <w:rPr>
          <w:rFonts w:ascii="Times New Roman" w:hAnsi="Times New Roman"/>
          <w:sz w:val="20"/>
        </w:rPr>
        <w:t xml:space="preserve"> To the extent this Warrant is not previously exercised as to all of the Warrant Shares issuable hereunder, and if the Fair Market Value of one Warrant Share (at such measurement date) is greater than the Exercise Price, this Warrant will be deemed automatically exercised pursuant to a net issuance exercise under Section 1.4 (even if not surrendered) immediately before its expiration. To the extent this Warrant or any portion thereof is deemed automatically exercised pursuant to this Section, the Company agrees promptly to notify the Holder in writing of the number of Warrant Shares, if any, the Holder is to receive by reason of such automatic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Adjustments </w:t>
      </w:r>
    </w:p>
    <w:p>
      <w:pPr>
        <w:pStyle w:val="TextBody"/>
        <w:bidi w:val="0"/>
        <w:spacing w:before="120" w:after="0"/>
        <w:jc w:val="left"/>
        <w:rPr>
          <w:rFonts w:ascii="Times New Roman" w:hAnsi="Times New Roman"/>
          <w:sz w:val="20"/>
        </w:rPr>
      </w:pPr>
      <w:r>
        <w:rPr>
          <w:rFonts w:ascii="Times New Roman" w:hAnsi="Times New Roman"/>
          <w:b/>
          <w:sz w:val="20"/>
        </w:rPr>
        <w:t>5.1 Reorganization.</w:t>
      </w:r>
      <w:r>
        <w:rPr>
          <w:rFonts w:ascii="Times New Roman" w:hAnsi="Times New Roman"/>
          <w:sz w:val="20"/>
        </w:rPr>
        <w:t xml:space="preserve"> Upon any reclassification, capital reorganization, or change in the capital stock of the Company affecting the same class of shares as the Warrant Shares (other than a Change of Control transaction covered by Section 4.1, but including any merger or other transaction involving a special purpose acquisition company which results in the shares of the same class as the Warrant Shares being converted into or exchanged for publicly-traded securities if such transaction does not constitute a Change of Control), the Company will make appropriate provision so that the Holder will thereafter be entitled to receive, upon exercise of this Warrant, the number and type of securities or other property that a holder of the same class of shares as the Warrant Shares would have been entitled to receive in connection with such transaction if such holder held the same number of shares as were purchasable under this Warrant if this Warrant had been exercised immediately before such reclassification, reorganization, or change, and thereafter all references to the Company in this Warrant will refer to the issuer of such securities or other property. </w:t>
      </w:r>
    </w:p>
    <w:p>
      <w:pPr>
        <w:pStyle w:val="TextBody"/>
        <w:bidi w:val="0"/>
        <w:spacing w:before="120" w:after="0"/>
        <w:jc w:val="left"/>
        <w:rPr>
          <w:rFonts w:ascii="Times New Roman" w:hAnsi="Times New Roman"/>
          <w:sz w:val="20"/>
        </w:rPr>
      </w:pPr>
      <w:r>
        <w:rPr>
          <w:rFonts w:ascii="Times New Roman" w:hAnsi="Times New Roman"/>
          <w:b/>
          <w:sz w:val="20"/>
        </w:rPr>
        <w:t>5.2 Adjustments for Stock Splits, Dividends.</w:t>
      </w:r>
      <w:r>
        <w:rPr>
          <w:rFonts w:ascii="Times New Roman" w:hAnsi="Times New Roman"/>
          <w:sz w:val="20"/>
        </w:rPr>
        <w:t xml:space="preserve"> If the Company, directly or indirectly, issues any shares of the same class as the Warrant Shares as a stock dividend, or subdivides or combines such class of shares in a stock split, then the Exercise Price in effect before such dividend, subdivision, or combination will be proportionately decreased or increased, as applicable, and the number of Warrant Shares at that time issuable pursuant to the exercise of this Warrant will be proportionately increased or decreased, as applicable. Each adjustment in the number of Warrant Shares issuable will be to the nearest whole share and each adjustment of the Exercise Price will be calculated to the nearest cent. Any adjustment under this Section will become effective at the close of business on the date the subdivision or combination becomes effective, or as of the record date of such dividend. </w:t>
      </w:r>
    </w:p>
    <w:p>
      <w:pPr>
        <w:pStyle w:val="TextBody"/>
        <w:bidi w:val="0"/>
        <w:spacing w:before="120" w:after="0"/>
        <w:jc w:val="left"/>
        <w:rPr>
          <w:rFonts w:ascii="Times New Roman" w:hAnsi="Times New Roman"/>
          <w:sz w:val="20"/>
        </w:rPr>
      </w:pPr>
      <w:r>
        <w:rPr>
          <w:rFonts w:ascii="Times New Roman" w:hAnsi="Times New Roman"/>
          <w:b/>
          <w:sz w:val="20"/>
        </w:rPr>
        <w:t>5.3 Anti-Dilution Protection.</w:t>
      </w:r>
      <w:r>
        <w:rPr>
          <w:rFonts w:ascii="Times New Roman" w:hAnsi="Times New Roman"/>
          <w:sz w:val="20"/>
        </w:rPr>
        <w:t xml:space="preserve"> If any shares of the same class as the Warrant Shares are entitled, under the Companys constituent documents or any contract to which the Company is a party, to an adjustment in the event of dilutive issuances of equity, then the Warrant Shares will be entitled to the same adjustment. </w:t>
      </w:r>
    </w:p>
    <w:p>
      <w:pPr>
        <w:pStyle w:val="TextBody"/>
        <w:bidi w:val="0"/>
        <w:spacing w:before="120" w:after="0"/>
        <w:jc w:val="left"/>
        <w:rPr>
          <w:rFonts w:ascii="Times New Roman" w:hAnsi="Times New Roman"/>
          <w:sz w:val="20"/>
        </w:rPr>
      </w:pPr>
      <w:r>
        <w:rPr>
          <w:rFonts w:ascii="Times New Roman" w:hAnsi="Times New Roman"/>
          <w:b/>
          <w:sz w:val="20"/>
        </w:rPr>
        <w:t>5.4 Certificate as to Adjustments.</w:t>
      </w:r>
      <w:r>
        <w:rPr>
          <w:rFonts w:ascii="Times New Roman" w:hAnsi="Times New Roman"/>
          <w:sz w:val="20"/>
        </w:rPr>
        <w:t xml:space="preserve"> If any adjustment is required to be made in the Exercise Price or number and type of securities issuable upon exercise of this Warrant, the Company will promptly give written notice to the Holder in the form of a certificate signed by an officer of the Company, setting forth the adjustment in reasonable detail. </w:t>
      </w:r>
    </w:p>
    <w:p>
      <w:pPr>
        <w:pStyle w:val="TextBody"/>
        <w:bidi w:val="0"/>
        <w:spacing w:before="12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rPr>
        <w:t xml:space="preserve">Legal Restrictions. </w:t>
      </w:r>
      <w:r>
        <w:rPr>
          <w:rFonts w:ascii="Times New Roman" w:hAnsi="Times New Roman"/>
          <w:sz w:val="20"/>
        </w:rPr>
        <w:t xml:space="preserve">In the event any applicable law or regulatory decision restricts the Holder from fully exercising this Warrant in accordance with its terms, or would require the Holder, the Company, or any of their respective affiliates to modify its business in order to do so, the Company and the Holder will modify this Warrant to the extent necessary to provide the Holder an equitable and legally permissible substitute to ensure that the Holder is able to receive the full benefits to which it is entitled under the terms hereof in a manner that complies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6. Registration Rights; Information Rights </w:t>
      </w:r>
    </w:p>
    <w:p>
      <w:pPr>
        <w:pStyle w:val="TextBody"/>
        <w:bidi w:val="0"/>
        <w:spacing w:before="120" w:after="0"/>
        <w:jc w:val="left"/>
        <w:rPr>
          <w:rFonts w:ascii="Times New Roman" w:hAnsi="Times New Roman"/>
          <w:sz w:val="20"/>
        </w:rPr>
      </w:pPr>
      <w:r>
        <w:rPr>
          <w:rFonts w:ascii="Times New Roman" w:hAnsi="Times New Roman"/>
          <w:b/>
          <w:sz w:val="20"/>
        </w:rPr>
        <w:t>6.1 Registration Rights.</w:t>
      </w:r>
      <w:r>
        <w:rPr>
          <w:rFonts w:ascii="Times New Roman" w:hAnsi="Times New Roman"/>
          <w:sz w:val="20"/>
        </w:rPr>
        <w:t xml:space="preserve"> All Warrant Shares issuable upon exercise of this Warrant will be subject to customary registration rights to be agreed upon by the Holder, the Company, and, to the extent applicable, the Companys then-existing equityholders, promptly following the initial exercise of this Warrant (and, in any event, prior to consummation of any Listing Event). The registration rights provided to the Holder will be at least as favorable to the Holder as any registration rights that the Company has provided to any of its other equityholders at such time. </w:t>
      </w:r>
    </w:p>
    <w:p>
      <w:pPr>
        <w:pStyle w:val="TextBody"/>
        <w:bidi w:val="0"/>
        <w:spacing w:before="120" w:after="0"/>
        <w:jc w:val="left"/>
        <w:rPr>
          <w:rFonts w:ascii="Times New Roman" w:hAnsi="Times New Roman"/>
          <w:sz w:val="20"/>
        </w:rPr>
      </w:pPr>
      <w:r>
        <w:rPr>
          <w:rFonts w:ascii="Times New Roman" w:hAnsi="Times New Roman"/>
          <w:b/>
          <w:sz w:val="20"/>
        </w:rPr>
        <w:t>6.2 Information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will deliver to the Holder (to the notice address set out in Section 10.3) during the term of this Warrant and for so long as the Holder holds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(i) as soon as practicable, and in any event within 120 days, after the end of each fiscal year of the Company, (A) an audited or reviewed consolidated balance sheet of the Company and its subsidiaries and statement of stockholders equity of the Company, in each case as of the last day of such year, and an audited or reviewed consolidated income statement and statement of cash flows of the Company and its subsidiaries, in each case for the period then ended, along with the notes to the financial statements, prepared in accordance with generally accepted accounting principles in the United States (as applicable) and (B) a notice indicating the number of Warrant Shares that have vested as of the end of such fiscal year or as of the date of such notice (it being understood that any failure to deliver such notice, or any inaccuracy therein, shall not affect or impair the Holders rights or the Companys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(ii) as soon as practicable, and in any event within 45 days, after the end of each fiscal quarter of the Company, an unaudited consolidated income statement, an unaudited consolidated cash flow statement, an unaudited consolidated balance sheet, and a consolidated statement of stockholders equity, year to date and as of the end of such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(iii) as soon as practicable, and in any event within 30 days, after the consummation of any third-party equity financing or any other material change in the equity capitalization of the Company, (A) an updated capitalization table for the Company (similar in format to the capitalization table attached as </w:t>
      </w:r>
      <w:r>
        <w:rPr>
          <w:rFonts w:ascii="Times New Roman" w:hAnsi="Times New Roman"/>
          <w:b/>
          <w:i/>
          <w:sz w:val="20"/>
        </w:rPr>
        <w:t>Exhibit</w:t>
      </w:r>
      <w:r>
        <w:rPr>
          <w:rFonts w:ascii="Times New Roman" w:hAnsi="Times New Roman"/>
          <w:sz w:val="20"/>
        </w:rPr>
        <w:t> </w:t>
      </w:r>
      <w:r>
        <w:rPr>
          <w:rFonts w:ascii="Times New Roman" w:hAnsi="Times New Roman"/>
          <w:b/>
          <w:i/>
          <w:sz w:val="20"/>
        </w:rPr>
        <w:t>C</w:t>
      </w:r>
      <w:r>
        <w:rPr>
          <w:rFonts w:ascii="Times New Roman" w:hAnsi="Times New Roman"/>
          <w:sz w:val="20"/>
        </w:rPr>
        <w:t xml:space="preserve"> hereto) as of the closing of such financing event or as of the date of such other material change, together with the per share and total valuation implied by such financing or other material change, and (B) a copy of any amendments to the Companys constituent documents,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as soon as practicable, and in any event within 30 days, after any 409A reports or other similar opinions or reports setting forth a valuation of the Companys equity interests, a copy of such opinion or report or a summary of the valuation set forth therein; and </w:t>
      </w:r>
    </w:p>
    <w:p>
      <w:pPr>
        <w:pStyle w:val="TextBody"/>
        <w:bidi w:val="0"/>
        <w:spacing w:before="120" w:after="0"/>
        <w:jc w:val="left"/>
        <w:rPr>
          <w:rFonts w:ascii="Times New Roman" w:hAnsi="Times New Roman"/>
          <w:sz w:val="20"/>
        </w:rPr>
      </w:pPr>
      <w:r>
        <w:rPr>
          <w:rFonts w:ascii="Times New Roman" w:hAnsi="Times New Roman"/>
          <w:sz w:val="20"/>
        </w:rPr>
        <w:t xml:space="preserve">(v) annual budgets of the Company, but only to the extent that, and at substantially the same time as, annual budgets are delivered to holders of shares of the same class as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w:t>
      </w:r>
    </w:p>
    <w:p>
      <w:pPr>
        <w:pStyle w:val="TextBody"/>
        <w:bidi w:val="0"/>
        <w:spacing w:before="120" w:after="0"/>
        <w:jc w:val="left"/>
        <w:rPr>
          <w:rFonts w:ascii="Times New Roman" w:hAnsi="Times New Roman"/>
          <w:sz w:val="20"/>
        </w:rPr>
      </w:pPr>
      <w:r>
        <w:rPr>
          <w:rFonts w:ascii="Times New Roman" w:hAnsi="Times New Roman"/>
          <w:sz w:val="20"/>
        </w:rPr>
        <w:t xml:space="preserve">(i) provide within 15 days of request from the Holder, such other information relating to the Company or its affiliates as requested by the Holder and as may be reasonably required for the Holder or its affiliates to prepare or file any tax return or to prepare such filings with respect to the Company or any of its affiliates as may be required by any tax authority; and </w:t>
      </w:r>
    </w:p>
    <w:p>
      <w:pPr>
        <w:pStyle w:val="TextBody"/>
        <w:bidi w:val="0"/>
        <w:spacing w:before="120" w:after="0"/>
        <w:jc w:val="left"/>
        <w:rPr>
          <w:rFonts w:ascii="Times New Roman" w:hAnsi="Times New Roman"/>
          <w:sz w:val="20"/>
        </w:rPr>
      </w:pPr>
      <w:r>
        <w:rPr>
          <w:rFonts w:ascii="Times New Roman" w:hAnsi="Times New Roman"/>
          <w:sz w:val="20"/>
        </w:rPr>
        <w:t xml:space="preserve">(ii) reasonably cooperate (at no out of pocket cost to the Company) in preparing for any audit of, or dispute with a tax authority regarding any tax return of, the Holder or any of its affiliates relating to the Company or any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(c) Information received by the Holder pursuant to this Section 6.2 will be used by the Holder and its affiliates for purposes of permitting the Holder and its affiliates to comply with their respective financial reporting and tax obligations (and any similar requirements of any governmental authority) and will be treated as confidential in accordance with the terms of the applicable non-disclosure agreement between the Holder and its affiliates and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7. Warrant Evidence </w:t>
      </w:r>
    </w:p>
    <w:p>
      <w:pPr>
        <w:pStyle w:val="TextBody"/>
        <w:bidi w:val="0"/>
        <w:spacing w:before="120" w:after="0"/>
        <w:jc w:val="left"/>
        <w:rPr>
          <w:rFonts w:ascii="Times New Roman" w:hAnsi="Times New Roman"/>
          <w:sz w:val="20"/>
        </w:rPr>
      </w:pPr>
      <w:r>
        <w:rPr>
          <w:rFonts w:ascii="Times New Roman" w:hAnsi="Times New Roman"/>
          <w:sz w:val="20"/>
        </w:rPr>
        <w:t xml:space="preserve">To the extent legally permissible, this Warrant shall be deemed issued in book-entry or dematerialized form and electronic evidence alone of this Warrant shall be sufficient for surrender upon any exercise hereunder. Without limiting the prior sentence, the Company shall issue to Holder a physical form of this Warrant upon written request of the Holder, and upon receipt by the Company of a letter from the Holder stating loss, theft, destruction, or damage of a physical form of this Warrant, the Company will execute and deliver to the Holder, without charge to or bond from Holder, a new identical warrant in physical form. </w:t>
      </w:r>
    </w:p>
    <w:p>
      <w:pPr>
        <w:pStyle w:val="TextBody"/>
        <w:bidi w:val="0"/>
        <w:spacing w:before="360" w:after="0"/>
        <w:jc w:val="left"/>
        <w:rPr>
          <w:rFonts w:ascii="Times New Roman" w:hAnsi="Times New Roman"/>
          <w:b/>
          <w:sz w:val="20"/>
        </w:rPr>
      </w:pPr>
      <w:r>
        <w:rPr>
          <w:rFonts w:ascii="Times New Roman" w:hAnsi="Times New Roman"/>
          <w:b/>
          <w:sz w:val="20"/>
        </w:rPr>
        <w:t xml:space="preserve">8. Notices of Record Date, etc.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corporate action requiring the Company to establish a record date for its stockholders, the Company will mail to the Holder, at least 20 business days prior to the earlier of the record date or such corporate action, a written notice specifying (a) the date on which any such event is to occur or such record is to be taken, (b) the amount and character of any stock or other securities, or rights or warrants, proposed to be issued or granted, the date of such proposed issuance or grant, and the persons or class of persons to whom such proposed issuance or grant is to be offered or made, and (c) in reasonable detail, the facts, including the proposed date, concerning any other such event. </w:t>
      </w:r>
    </w:p>
    <w:p>
      <w:pPr>
        <w:pStyle w:val="TextBody"/>
        <w:bidi w:val="0"/>
        <w:spacing w:before="360" w:after="0"/>
        <w:jc w:val="left"/>
        <w:rPr>
          <w:rFonts w:ascii="Times New Roman" w:hAnsi="Times New Roman"/>
          <w:b/>
          <w:sz w:val="20"/>
        </w:rPr>
      </w:pPr>
      <w:r>
        <w:rPr>
          <w:rFonts w:ascii="Times New Roman" w:hAnsi="Times New Roman"/>
          <w:b/>
          <w:sz w:val="20"/>
        </w:rPr>
        <w:t xml:space="preserve">9. Investment Intent </w:t>
      </w:r>
    </w:p>
    <w:p>
      <w:pPr>
        <w:pStyle w:val="TextBody"/>
        <w:bidi w:val="0"/>
        <w:spacing w:before="120" w:after="0"/>
        <w:jc w:val="left"/>
        <w:rPr>
          <w:rFonts w:ascii="Times New Roman" w:hAnsi="Times New Roman"/>
          <w:sz w:val="20"/>
        </w:rPr>
      </w:pPr>
      <w:r>
        <w:rPr>
          <w:rFonts w:ascii="Times New Roman" w:hAnsi="Times New Roman"/>
          <w:sz w:val="20"/>
        </w:rPr>
        <w:t xml:space="preserve">By accepting this Warrant, the Holder represents that it (a) is acquiring this Warrant for investment and not with a view to, or for sale in connection with, any distribution or public offering thereof within the meaning of the Securities Act, (b) understands that this Warrant and the Warrant Shares subject to this Warrant have not been registered under the Securities Act by reason of their issuance in a transaction exempt from the registration and prospectus delivery requirements of the Securities Act pursuant to Section 4(a)(2) thereof, and (c) is an accredited investor as such term is defined in Rule 501 of Regulation D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10. Miscellaneous </w:t>
      </w:r>
    </w:p>
    <w:p>
      <w:pPr>
        <w:pStyle w:val="TextBody"/>
        <w:bidi w:val="0"/>
        <w:spacing w:before="120" w:after="0"/>
        <w:jc w:val="left"/>
        <w:rPr>
          <w:rFonts w:ascii="Times New Roman" w:hAnsi="Times New Roman"/>
          <w:sz w:val="20"/>
        </w:rPr>
      </w:pPr>
      <w:r>
        <w:rPr>
          <w:rFonts w:ascii="Times New Roman" w:hAnsi="Times New Roman"/>
          <w:b/>
          <w:sz w:val="20"/>
        </w:rPr>
        <w:t>10.1 Certain Definitions.</w:t>
      </w:r>
      <w:r>
        <w:rPr>
          <w:rFonts w:ascii="Times New Roman" w:hAnsi="Times New Roman"/>
          <w:sz w:val="20"/>
        </w:rPr>
        <w:t xml:space="preserve"> For purposes of this Warrant: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affiliate</w:t>
      </w:r>
      <w:r>
        <w:rPr>
          <w:rFonts w:ascii="Times New Roman" w:hAnsi="Times New Roman"/>
          <w:sz w:val="20"/>
        </w:rPr>
        <w:t xml:space="preserve"> means, as to any person, any person that directly or indirectly controls, is controlled by, or is under common control with that person.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Change of Control</w:t>
      </w:r>
      <w:r>
        <w:rPr>
          <w:rFonts w:ascii="Times New Roman" w:hAnsi="Times New Roman"/>
          <w:sz w:val="20"/>
        </w:rPr>
        <w:t xml:space="preserve"> means a Liquidation Event, as such term is defined in the Companys amended and restated certificate of incorporation as in effect on the Issue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Code</w:t>
      </w:r>
      <w:r>
        <w:rPr>
          <w:rFonts w:ascii="Times New Roman" w:hAnsi="Times New Roman"/>
          <w:sz w:val="20"/>
        </w:rPr>
        <w:t xml:space="preserve"> means the U.S.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Exchange Act</w:t>
      </w:r>
      <w:r>
        <w:rPr>
          <w:rFonts w:ascii="Times New Roman" w:hAnsi="Times New Roman"/>
          <w:sz w:val="20"/>
        </w:rPr>
        <w:t xml:space="preserve"> means the Securities Exchange Act of 1934, as amended, or any successor statute.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Fair Market Value</w:t>
      </w:r>
      <w:r>
        <w:rPr>
          <w:rFonts w:ascii="Times New Roman" w:hAnsi="Times New Roman"/>
          <w:sz w:val="20"/>
        </w:rPr>
        <w:t xml:space="preserve"> of a Warrant Share means: </w:t>
      </w:r>
    </w:p>
    <w:p>
      <w:pPr>
        <w:pStyle w:val="TextBody"/>
        <w:bidi w:val="0"/>
        <w:spacing w:before="120" w:after="0"/>
        <w:jc w:val="left"/>
        <w:rPr>
          <w:rFonts w:ascii="Times New Roman" w:hAnsi="Times New Roman"/>
          <w:sz w:val="20"/>
        </w:rPr>
      </w:pPr>
      <w:r>
        <w:rPr>
          <w:rFonts w:ascii="Times New Roman" w:hAnsi="Times New Roman"/>
          <w:sz w:val="20"/>
        </w:rPr>
        <w:t xml:space="preserve">(i) if shares of the same class as the Warrant Shares are traded on an exchange or an over-the-counter market, the average of the closing price for the five business days immediately preceding the date of net issuance exercise; </w:t>
      </w:r>
    </w:p>
    <w:p>
      <w:pPr>
        <w:pStyle w:val="TextBody"/>
        <w:bidi w:val="0"/>
        <w:spacing w:before="120" w:after="0"/>
        <w:jc w:val="left"/>
        <w:rPr>
          <w:rFonts w:ascii="Times New Roman" w:hAnsi="Times New Roman"/>
          <w:sz w:val="20"/>
        </w:rPr>
      </w:pPr>
      <w:r>
        <w:rPr>
          <w:rFonts w:ascii="Times New Roman" w:hAnsi="Times New Roman"/>
          <w:sz w:val="20"/>
        </w:rPr>
        <w:t xml:space="preserve">(ii) if the net issuance exercise is in connection with a Change of Control, the value of the consideration to be received pursuant to such Change of Control by the holder of a share of the same class as the Warrant Shares;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neither of the above clauses applies, the Fair Market Value will be the price for a share of the same class as the Warrant Shares that the Company could obtain from an arms-length buyer who is not a current or former employee, officer, or director of the Company or its affiliates (such price to be exclusive of any control or other similar premium), as determined in good faith by the Companys board of directors (or equivalent governing body). The Company will promptly provide the Holder a written summary of such determination.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i/>
          <w:sz w:val="20"/>
        </w:rPr>
        <w:t>Listing Event</w:t>
      </w:r>
      <w:r>
        <w:rPr>
          <w:rFonts w:ascii="Times New Roman" w:hAnsi="Times New Roman"/>
          <w:sz w:val="20"/>
        </w:rPr>
        <w:t xml:space="preserve"> means any of the following: (i) the closing of the Companys initial public offering of securities or direct listing of securities pursuant to an effective registration statement filed under the Securities Act; (ii) the registration of the Companys securities under Section 12 of the Exchange Act in connection with its initial public offering; (iii) the closing of the Companys initial public offering, or the listing of the Companys shares, on a stock exchange outside of the United States; or (iv) or the occurrence of any other event that results in the Warrant Shares becoming a class of equity security, as such term is defined in Rule 13d-1(i) under the Exchange Act, including any merger or other transaction involving a special purpose acquisition company which results in the shares of the same class as the Warrant Shares being converted into or exchanged for publicly-traded securities.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i/>
          <w:sz w:val="20"/>
        </w:rPr>
        <w:t>person</w:t>
      </w:r>
      <w:r>
        <w:rPr>
          <w:rFonts w:ascii="Times New Roman" w:hAnsi="Times New Roman"/>
          <w:sz w:val="20"/>
        </w:rPr>
        <w:t xml:space="preserve"> means any individual, corporation, partnership, trust, joint venture, limited liability company, association, organization, other entity, or governmental or regulatory authority. </w:t>
      </w:r>
    </w:p>
    <w:p>
      <w:pPr>
        <w:pStyle w:val="TextBody"/>
        <w:bidi w:val="0"/>
        <w:spacing w:before="120" w:after="0"/>
        <w:jc w:val="left"/>
        <w:rPr>
          <w:rFonts w:ascii="Times New Roman" w:hAnsi="Times New Roman"/>
          <w:sz w:val="20"/>
        </w:rPr>
      </w:pPr>
      <w:r>
        <w:rPr>
          <w:rFonts w:ascii="Times New Roman" w:hAnsi="Times New Roman"/>
          <w:b/>
          <w:sz w:val="20"/>
        </w:rPr>
        <w:t>10.2 No Stockholder Rights or Liabilities.</w:t>
      </w:r>
      <w:r>
        <w:rPr>
          <w:rFonts w:ascii="Times New Roman" w:hAnsi="Times New Roman"/>
          <w:sz w:val="20"/>
        </w:rPr>
        <w:t xml:space="preserve"> Prior to exercise, this Warrant will not entitle the Holder to any voting rights or other rights as a stockholder of the Company other than as set forth in this Warrant. In no event will the Holder have any liability hereunder, other than the consideration payable upon exercise of this Warrant pursuant to Section 1.3 hereof. </w:t>
      </w:r>
    </w:p>
    <w:p>
      <w:pPr>
        <w:pStyle w:val="TextBody"/>
        <w:bidi w:val="0"/>
        <w:spacing w:before="120" w:after="0"/>
        <w:jc w:val="left"/>
        <w:rPr>
          <w:rFonts w:ascii="Times New Roman" w:hAnsi="Times New Roman"/>
          <w:sz w:val="20"/>
        </w:rPr>
      </w:pPr>
      <w:r>
        <w:rPr>
          <w:rFonts w:ascii="Times New Roman" w:hAnsi="Times New Roman"/>
          <w:b/>
          <w:sz w:val="20"/>
        </w:rPr>
        <w:t>10.3</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Any notice under this Warrant will be given in writing and will be sent by email, nationally or internationally recognized overnight courier service, certified mail (return receipt requested), or receipted facsimile to the other party at the address below. A party may change its notice address by giving notice in accordance with this Section.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4"/>
        <w:gridCol w:w="102"/>
        <w:gridCol w:w="5409"/>
      </w:tblGrid>
      <w:tr>
        <w:trPr/>
        <w:tc>
          <w:tcPr>
            <w:tcW w:w="469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409" w:type="dxa"/>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0"/>
              <w:jc w:val="left"/>
              <w:rPr>
                <w:rFonts w:ascii="Times New Roman" w:hAnsi="Times New Roman"/>
                <w:sz w:val="20"/>
              </w:rPr>
            </w:pPr>
            <w:r>
              <w:rPr>
                <w:rFonts w:ascii="Times New Roman" w:hAnsi="Times New Roman"/>
                <w:sz w:val="20"/>
              </w:rPr>
              <w:t>If to the Holder:</w:t>
            </w:r>
          </w:p>
          <w:p>
            <w:pPr>
              <w:pStyle w:val="TableContents"/>
              <w:bidi w:val="0"/>
              <w:spacing w:before="0" w:after="0"/>
              <w:jc w:val="left"/>
              <w:rPr>
                <w:rFonts w:ascii="Times New Roman" w:hAnsi="Times New Roman"/>
                <w:sz w:val="20"/>
              </w:rPr>
            </w:pPr>
            <w:r>
              <w:rPr>
                <w:rFonts w:ascii="Times New Roman" w:hAnsi="Times New Roman"/>
                <w:sz w:val="20"/>
              </w:rPr>
              <w:t>Amazon.com NV Investment Holdings LLC</w:t>
            </w:r>
          </w:p>
          <w:p>
            <w:pPr>
              <w:pStyle w:val="TableContents"/>
              <w:bidi w:val="0"/>
              <w:spacing w:before="0" w:after="0"/>
              <w:jc w:val="left"/>
              <w:rPr>
                <w:rFonts w:ascii="Times New Roman" w:hAnsi="Times New Roman"/>
                <w:sz w:val="20"/>
              </w:rPr>
            </w:pPr>
            <w:r>
              <w:rPr>
                <w:rFonts w:ascii="Times New Roman" w:hAnsi="Times New Roman"/>
                <w:sz w:val="20"/>
              </w:rPr>
              <w:t>c/o Amazon.com, Inc.</w:t>
            </w:r>
          </w:p>
          <w:p>
            <w:pPr>
              <w:pStyle w:val="TableContents"/>
              <w:bidi w:val="0"/>
              <w:spacing w:before="0" w:after="0"/>
              <w:jc w:val="left"/>
              <w:rPr>
                <w:rFonts w:ascii="Times New Roman" w:hAnsi="Times New Roman"/>
                <w:sz w:val="20"/>
              </w:rPr>
            </w:pPr>
            <w:r>
              <w:rPr>
                <w:rFonts w:ascii="Times New Roman" w:hAnsi="Times New Roman"/>
                <w:sz w:val="20"/>
              </w:rPr>
              <w:t>P.O. Box 81226</w:t>
            </w:r>
          </w:p>
          <w:p>
            <w:pPr>
              <w:pStyle w:val="TableContents"/>
              <w:bidi w:val="0"/>
              <w:spacing w:before="0" w:after="0"/>
              <w:jc w:val="left"/>
              <w:rPr>
                <w:rFonts w:ascii="Times New Roman" w:hAnsi="Times New Roman"/>
                <w:sz w:val="20"/>
              </w:rPr>
            </w:pPr>
            <w:r>
              <w:rPr>
                <w:rFonts w:ascii="Times New Roman" w:hAnsi="Times New Roman"/>
                <w:sz w:val="20"/>
              </w:rPr>
              <w:t>Seattle, WA 98108-1226</w:t>
            </w:r>
          </w:p>
          <w:p>
            <w:pPr>
              <w:pStyle w:val="TableContents"/>
              <w:bidi w:val="0"/>
              <w:spacing w:before="0" w:after="0"/>
              <w:jc w:val="left"/>
              <w:rPr>
                <w:rFonts w:ascii="Times New Roman" w:hAnsi="Times New Roman"/>
                <w:sz w:val="20"/>
              </w:rPr>
            </w:pPr>
            <w:r>
              <w:rPr>
                <w:rFonts w:ascii="Times New Roman" w:hAnsi="Times New Roman"/>
                <w:sz w:val="20"/>
              </w:rPr>
              <w:t>Fax:</w:t>
            </w:r>
          </w:p>
          <w:p>
            <w:pPr>
              <w:pStyle w:val="TableContents"/>
              <w:bidi w:val="0"/>
              <w:spacing w:before="0" w:after="20"/>
              <w:jc w:val="left"/>
              <w:rPr>
                <w:rFonts w:ascii="Times New Roman" w:hAnsi="Times New Roman"/>
                <w:sz w:val="20"/>
              </w:rPr>
            </w:pPr>
            <w:r>
              <w:rPr>
                <w:rFonts w:ascii="Times New Roman" w:hAnsi="Times New Roman"/>
                <w:sz w:val="20"/>
              </w:rPr>
              <w:t>Attn: General Counsel</w:t>
            </w:r>
          </w:p>
        </w:tc>
        <w:tc>
          <w:tcPr>
            <w:tcW w:w="102" w:type="dxa"/>
            <w:tcBorders/>
            <w:vAlign w:val="bottom"/>
          </w:tcPr>
          <w:p>
            <w:pPr>
              <w:pStyle w:val="TableContents"/>
              <w:bidi w:val="0"/>
              <w:spacing w:before="0" w:after="283"/>
              <w:jc w:val="left"/>
              <w:rPr/>
            </w:pPr>
            <w:r>
              <w:rPr/>
              <w:t> </w:t>
            </w:r>
          </w:p>
        </w:tc>
        <w:tc>
          <w:tcPr>
            <w:tcW w:w="5409" w:type="dxa"/>
            <w:tcBorders/>
          </w:tcPr>
          <w:p>
            <w:pPr>
              <w:pStyle w:val="TableContents"/>
              <w:bidi w:val="0"/>
              <w:spacing w:before="0" w:after="283"/>
              <w:jc w:val="left"/>
              <w:rPr/>
            </w:pPr>
            <w:r>
              <w:rPr/>
              <w:t>If to the Company: to the address set forth below the Companys signature at the end of this Warrant.</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10.4 Amendments and Waivers. </w:t>
      </w:r>
      <w:r>
        <w:rPr>
          <w:rFonts w:ascii="Times New Roman" w:hAnsi="Times New Roman"/>
          <w:sz w:val="20"/>
        </w:rPr>
        <w:t xml:space="preserve">Any term of this Warrant may be amended, and the observance of any term may be waived (either generally or in a particular instance and either retroactively or prospectively), only with the written consent of the Company and the Holder. </w:t>
      </w:r>
    </w:p>
    <w:p>
      <w:pPr>
        <w:pStyle w:val="TextBody"/>
        <w:bidi w:val="0"/>
        <w:spacing w:before="120" w:after="0"/>
        <w:jc w:val="left"/>
        <w:rPr>
          <w:rFonts w:ascii="Times New Roman" w:hAnsi="Times New Roman"/>
          <w:sz w:val="20"/>
        </w:rPr>
      </w:pPr>
      <w:r>
        <w:rPr>
          <w:rFonts w:ascii="Times New Roman" w:hAnsi="Times New Roman"/>
          <w:b/>
          <w:sz w:val="20"/>
        </w:rPr>
        <w:t>10.5</w:t>
      </w:r>
      <w:r>
        <w:rPr>
          <w:rFonts w:ascii="Times New Roman" w:hAnsi="Times New Roman"/>
          <w:sz w:val="20"/>
        </w:rPr>
        <w:t xml:space="preserve"> </w:t>
      </w:r>
      <w:r>
        <w:rPr>
          <w:rFonts w:ascii="Times New Roman" w:hAnsi="Times New Roman"/>
          <w:b/>
          <w:sz w:val="20"/>
        </w:rPr>
        <w:t xml:space="preserve">Governing Law; Severability; Jurisdiction; Venue. </w:t>
      </w:r>
      <w:r>
        <w:rPr>
          <w:rFonts w:ascii="Times New Roman" w:hAnsi="Times New Roman"/>
          <w:sz w:val="20"/>
        </w:rPr>
        <w:t xml:space="preserve">This Warrant will be governed by and construed under the laws of the State of Washington without regard to principles of conflict of laws. If any Section or provision of this Warrant is found or held to be illegal, invalid, or unenforceable, the remainder of this Warrant will be valid and enforceable and the parties in good faith will negotiate a substitute, valid, and enforceable provision that most nearly effects the parties intent in entering into this Warrant. The parties irrevocably consent to the jurisdiction and venue of the state and federal courts located in King County, Washington in connection with any action relating to this Warrant. </w:t>
      </w:r>
    </w:p>
    <w:p>
      <w:pPr>
        <w:pStyle w:val="TextBody"/>
        <w:bidi w:val="0"/>
        <w:spacing w:before="120" w:after="0"/>
        <w:jc w:val="left"/>
        <w:rPr>
          <w:rFonts w:ascii="Times New Roman" w:hAnsi="Times New Roman"/>
          <w:sz w:val="20"/>
        </w:rPr>
      </w:pPr>
      <w:r>
        <w:rPr>
          <w:rFonts w:ascii="Times New Roman" w:hAnsi="Times New Roman"/>
          <w:b/>
          <w:sz w:val="20"/>
        </w:rPr>
        <w:t>10.6</w:t>
      </w:r>
      <w:r>
        <w:rPr>
          <w:rFonts w:ascii="Times New Roman" w:hAnsi="Times New Roman"/>
          <w:sz w:val="20"/>
        </w:rPr>
        <w:t xml:space="preserve"> </w:t>
      </w:r>
      <w:r>
        <w:rPr>
          <w:rFonts w:ascii="Times New Roman" w:hAnsi="Times New Roman"/>
          <w:b/>
          <w:sz w:val="20"/>
        </w:rPr>
        <w:t xml:space="preserve">Transfer; Successors and Assigns. </w:t>
      </w:r>
      <w:r>
        <w:rPr>
          <w:rFonts w:ascii="Times New Roman" w:hAnsi="Times New Roman"/>
          <w:sz w:val="20"/>
        </w:rPr>
        <w:t xml:space="preserve">This Warrant and all rights hereunder are transferable by the Holder, in whole or in part, (a) to any affiliate of the Holder, or (b) to any non-affiliate of the Holder with the prior written consent of the Company (not to be unreasonably withheld or delayed), in each case upon surrender of this Warrant properly endorsed or accompanied by written instructions of transfer attached as </w:t>
      </w:r>
      <w:r>
        <w:rPr>
          <w:rFonts w:ascii="Times New Roman" w:hAnsi="Times New Roman"/>
          <w:b/>
          <w:i/>
          <w:sz w:val="20"/>
        </w:rPr>
        <w:t>Exhibit</w:t>
      </w:r>
      <w:r>
        <w:rPr>
          <w:rFonts w:ascii="Times New Roman" w:hAnsi="Times New Roman"/>
          <w:sz w:val="20"/>
        </w:rPr>
        <w:t> </w:t>
      </w:r>
      <w:r>
        <w:rPr>
          <w:rFonts w:ascii="Times New Roman" w:hAnsi="Times New Roman"/>
          <w:b/>
          <w:i/>
          <w:sz w:val="20"/>
        </w:rPr>
        <w:t xml:space="preserve">D </w:t>
      </w:r>
      <w:r>
        <w:rPr>
          <w:rFonts w:ascii="Times New Roman" w:hAnsi="Times New Roman"/>
          <w:sz w:val="20"/>
        </w:rPr>
        <w:t xml:space="preserve">hereto, and the Company will issue a new warrant reflecting such transfer but otherwise identical to this Warrant. The Company may not assign this Warrant or its obligations under this Warrant without the prior written consent of the Holder. The terms and conditions of this Warrant will inure to the benefit of, and be binding on, the respective successors and permitted assigns of the Company and the Holder, respectively. </w:t>
      </w:r>
    </w:p>
    <w:p>
      <w:pPr>
        <w:pStyle w:val="TextBody"/>
        <w:bidi w:val="0"/>
        <w:spacing w:before="120" w:after="0"/>
        <w:jc w:val="left"/>
        <w:rPr>
          <w:rFonts w:ascii="Times New Roman" w:hAnsi="Times New Roman"/>
          <w:sz w:val="20"/>
        </w:rPr>
      </w:pPr>
      <w:r>
        <w:rPr>
          <w:rFonts w:ascii="Times New Roman" w:hAnsi="Times New Roman"/>
          <w:b/>
          <w:sz w:val="20"/>
        </w:rPr>
        <w:t>10.7 Income Tax Treatment.</w:t>
      </w:r>
      <w:r>
        <w:rPr>
          <w:rFonts w:ascii="Times New Roman" w:hAnsi="Times New Roman"/>
          <w:sz w:val="20"/>
        </w:rPr>
        <w:t xml:space="preserve"> The parties acknowledge that this Warrant is not being issued in connection with the performance of services within the meaning of Section 83 of the Code, the Holder will control the valuation of this Warrant for all relevant tax purposes, and the issuance of this Warrant represents a closed transaction for income tax purposes. The parties will not take a position on any income tax return inconsistent with the foregoing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10.8 Headings; Construction.</w:t>
      </w:r>
      <w:r>
        <w:rPr>
          <w:rFonts w:ascii="Times New Roman" w:hAnsi="Times New Roman"/>
          <w:sz w:val="20"/>
        </w:rPr>
        <w:t xml:space="preserve"> The headings in this Warrant are for purposes of reference only and will not limit or otherwise affect the meaning of any provision of this Warrant. The words include and including will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executed this Warrant as of the date first written above.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50"/>
        <w:gridCol w:w="61"/>
        <w:gridCol w:w="3271"/>
      </w:tblGrid>
      <w:tr>
        <w:trPr/>
        <w:tc>
          <w:tcPr>
            <w:tcW w:w="75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ASTERA LABS, INC.</w:t>
            </w:r>
          </w:p>
        </w:tc>
      </w:tr>
      <w:tr>
        <w:trPr>
          <w:trHeight w:val="240" w:hRule="atLeast"/>
        </w:trPr>
        <w:tc>
          <w:tcPr>
            <w:tcW w:w="750" w:type="dxa"/>
            <w:tcBorders/>
            <w:vAlign w:val="center"/>
          </w:tcPr>
          <w:p>
            <w:pPr>
              <w:pStyle w:val="TableContents"/>
              <w:bidi w:val="0"/>
              <w:spacing w:before="0" w:after="283"/>
              <w:jc w:val="left"/>
              <w:rPr>
                <w:sz w:val="4"/>
                <w:szCs w:val="4"/>
              </w:rPr>
            </w:pPr>
            <w:r>
              <w:rPr>
                <w:sz w:val="4"/>
                <w:szCs w:val="4"/>
              </w:rPr>
            </w:r>
          </w:p>
        </w:tc>
        <w:tc>
          <w:tcPr>
            <w:tcW w:w="3332" w:type="dxa"/>
            <w:gridSpan w:val="2"/>
            <w:tcBorders/>
            <w:vAlign w:val="center"/>
          </w:tcPr>
          <w:p>
            <w:pPr>
              <w:pStyle w:val="TableContents"/>
              <w:bidi w:val="0"/>
              <w:spacing w:before="0" w:after="283"/>
              <w:jc w:val="left"/>
              <w:rPr>
                <w:sz w:val="4"/>
                <w:szCs w:val="4"/>
              </w:rPr>
            </w:pPr>
            <w:r>
              <w:rPr>
                <w:sz w:val="4"/>
                <w:szCs w:val="4"/>
              </w:rPr>
            </w:r>
          </w:p>
        </w:tc>
      </w:tr>
      <w:tr>
        <w:trPr/>
        <w:tc>
          <w:tcPr>
            <w:tcW w:w="750" w:type="dxa"/>
            <w:tcBorders/>
          </w:tcPr>
          <w:p>
            <w:pPr>
              <w:pStyle w:val="TableContents"/>
              <w:bidi w:val="0"/>
              <w:spacing w:before="0" w:after="283"/>
              <w:jc w:val="left"/>
              <w:rPr>
                <w:b/>
              </w:rPr>
            </w:pPr>
            <w:r>
              <w:rPr>
                <w:b/>
              </w:rPr>
              <w:t>By:</w:t>
            </w:r>
          </w:p>
        </w:tc>
        <w:tc>
          <w:tcPr>
            <w:tcW w:w="61" w:type="dxa"/>
            <w:tcBorders/>
            <w:vAlign w:val="bottom"/>
          </w:tcPr>
          <w:p>
            <w:pPr>
              <w:pStyle w:val="TableContents"/>
              <w:bidi w:val="0"/>
              <w:spacing w:before="0" w:after="283"/>
              <w:jc w:val="left"/>
              <w:rPr/>
            </w:pPr>
            <w:r>
              <w:rPr/>
              <w:t> </w:t>
            </w:r>
          </w:p>
        </w:tc>
        <w:tc>
          <w:tcPr>
            <w:tcW w:w="3271"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Sanjay Gajendra</w:t>
            </w:r>
          </w:p>
        </w:tc>
      </w:tr>
      <w:tr>
        <w:trPr/>
        <w:tc>
          <w:tcPr>
            <w:tcW w:w="750" w:type="dxa"/>
            <w:tcBorders/>
          </w:tcPr>
          <w:p>
            <w:pPr>
              <w:pStyle w:val="TableContents"/>
              <w:bidi w:val="0"/>
              <w:spacing w:before="0" w:after="283"/>
              <w:jc w:val="left"/>
              <w:rPr>
                <w:b/>
              </w:rPr>
            </w:pPr>
            <w:r>
              <w:rPr>
                <w:b/>
              </w:rPr>
              <w:t>Name:</w:t>
            </w:r>
          </w:p>
        </w:tc>
        <w:tc>
          <w:tcPr>
            <w:tcW w:w="61"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283"/>
              <w:jc w:val="left"/>
              <w:rPr>
                <w:b/>
              </w:rPr>
            </w:pPr>
            <w:r>
              <w:rPr>
                <w:b/>
              </w:rPr>
              <w:t>Sanjay Gajendra</w:t>
            </w:r>
          </w:p>
        </w:tc>
      </w:tr>
      <w:tr>
        <w:trPr/>
        <w:tc>
          <w:tcPr>
            <w:tcW w:w="750" w:type="dxa"/>
            <w:tcBorders/>
          </w:tcPr>
          <w:p>
            <w:pPr>
              <w:pStyle w:val="TableContents"/>
              <w:bidi w:val="0"/>
              <w:spacing w:before="0" w:after="283"/>
              <w:jc w:val="left"/>
              <w:rPr>
                <w:b/>
              </w:rPr>
            </w:pPr>
            <w:r>
              <w:rPr>
                <w:b/>
              </w:rPr>
              <w:t>Title:</w:t>
            </w:r>
          </w:p>
        </w:tc>
        <w:tc>
          <w:tcPr>
            <w:tcW w:w="61" w:type="dxa"/>
            <w:tcBorders/>
            <w:vAlign w:val="bottom"/>
          </w:tcPr>
          <w:p>
            <w:pPr>
              <w:pStyle w:val="TableContents"/>
              <w:bidi w:val="0"/>
              <w:spacing w:before="0" w:after="283"/>
              <w:jc w:val="left"/>
              <w:rPr/>
            </w:pPr>
            <w:r>
              <w:rPr/>
              <w:t> </w:t>
            </w:r>
          </w:p>
        </w:tc>
        <w:tc>
          <w:tcPr>
            <w:tcW w:w="3271" w:type="dxa"/>
            <w:tcBorders/>
          </w:tcPr>
          <w:p>
            <w:pPr>
              <w:pStyle w:val="TableContents"/>
              <w:bidi w:val="0"/>
              <w:spacing w:before="0" w:after="283"/>
              <w:jc w:val="left"/>
              <w:rPr>
                <w:b/>
              </w:rPr>
            </w:pPr>
            <w:r>
              <w:rPr>
                <w:b/>
              </w:rPr>
              <w:t>Chief Business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 address for notices:</w:t>
            </w:r>
          </w:p>
        </w:tc>
      </w:tr>
      <w:tr>
        <w:trPr/>
        <w:tc>
          <w:tcPr>
            <w:tcW w:w="4082" w:type="dxa"/>
            <w:gridSpan w:val="3"/>
            <w:tcBorders/>
          </w:tcPr>
          <w:p>
            <w:pPr>
              <w:pStyle w:val="TableContents"/>
              <w:bidi w:val="0"/>
              <w:spacing w:before="0" w:after="283"/>
              <w:jc w:val="left"/>
              <w:rPr/>
            </w:pPr>
            <w:r>
              <w:rPr/>
              <w:t>Attn: Legal Department</w:t>
            </w:r>
          </w:p>
        </w:tc>
      </w:tr>
      <w:tr>
        <w:trPr/>
        <w:tc>
          <w:tcPr>
            <w:tcW w:w="4082" w:type="dxa"/>
            <w:gridSpan w:val="3"/>
            <w:tcBorders/>
          </w:tcPr>
          <w:p>
            <w:pPr>
              <w:pStyle w:val="TableContents"/>
              <w:bidi w:val="0"/>
              <w:spacing w:before="0" w:after="283"/>
              <w:jc w:val="left"/>
              <w:rPr/>
            </w:pPr>
            <w:r>
              <w:rPr/>
              <w:t>2901 Tasman Dr., Suite 204, Santa Clara, CA 95054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SCHEDULE OF TERMS OF WARRANT SHARES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in this Schedule of Terms have the meanings ascribed to those terms in the Warrant.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3"/>
        <w:gridCol w:w="123"/>
        <w:gridCol w:w="6239"/>
      </w:tblGrid>
      <w:tr>
        <w:trPr/>
        <w:tc>
          <w:tcPr>
            <w:tcW w:w="38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23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Name of Company:</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Astera Labs, Inc.</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Jurisdiction of formation and type of entity (e.g., corporation, LLC, etc.):</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Delaware Corporation</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Class of equity subject to Warrant:</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Common</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Holders fully diluted ownership percentage of the Company (as of the Issue Date, calculated on a post-exercise basis assuming full vesting of the Warrant):</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Number of Warrant Shares (as of the Issue Date, assuming full vesting of the Warrant):</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2,968,460</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Assumed valuation (as of the Issue Date) on a fully diluted, post-exercise basis:</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Exercise Price (as of the Issue Date):</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$10.1695 per Warrant Share</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Exercise Period:</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283"/>
              <w:jc w:val="left"/>
              <w:rPr/>
            </w:pPr>
            <w:r>
              <w:rPr/>
              <w:t>From the Issue Date until the 7th anniversary of the Issue Date</w:t>
            </w:r>
          </w:p>
        </w:tc>
      </w:tr>
      <w:tr>
        <w:trPr>
          <w:trHeight w:val="120" w:hRule="atLeast"/>
        </w:trPr>
        <w:tc>
          <w:tcPr>
            <w:tcW w:w="3843" w:type="dxa"/>
            <w:tcBorders/>
            <w:vAlign w:val="center"/>
          </w:tcPr>
          <w:p>
            <w:pPr>
              <w:pStyle w:val="TableContents"/>
              <w:bidi w:val="0"/>
              <w:spacing w:before="0" w:after="283"/>
              <w:jc w:val="left"/>
              <w:rPr>
                <w:sz w:val="4"/>
                <w:szCs w:val="4"/>
              </w:rPr>
            </w:pPr>
            <w:r>
              <w:rPr>
                <w:sz w:val="4"/>
                <w:szCs w:val="4"/>
              </w:rPr>
            </w:r>
          </w:p>
        </w:tc>
        <w:tc>
          <w:tcPr>
            <w:tcW w:w="6362" w:type="dxa"/>
            <w:gridSpan w:val="2"/>
            <w:tcBorders/>
            <w:vAlign w:val="center"/>
          </w:tcPr>
          <w:p>
            <w:pPr>
              <w:pStyle w:val="TableContents"/>
              <w:bidi w:val="0"/>
              <w:spacing w:before="0" w:after="283"/>
              <w:jc w:val="left"/>
              <w:rPr>
                <w:sz w:val="4"/>
                <w:szCs w:val="4"/>
              </w:rPr>
            </w:pPr>
            <w:r>
              <w:rPr>
                <w:sz w:val="4"/>
                <w:szCs w:val="4"/>
              </w:rPr>
            </w:r>
          </w:p>
        </w:tc>
      </w:tr>
      <w:tr>
        <w:trPr/>
        <w:tc>
          <w:tcPr>
            <w:tcW w:w="3843" w:type="dxa"/>
            <w:tcBorders/>
          </w:tcPr>
          <w:p>
            <w:pPr>
              <w:pStyle w:val="TableContents"/>
              <w:bidi w:val="0"/>
              <w:spacing w:before="0" w:after="283"/>
              <w:jc w:val="left"/>
              <w:rPr>
                <w:b/>
              </w:rPr>
            </w:pPr>
            <w:r>
              <w:rPr>
                <w:b/>
              </w:rPr>
              <w:t>Vesting Schedule:</w:t>
            </w:r>
          </w:p>
        </w:tc>
        <w:tc>
          <w:tcPr>
            <w:tcW w:w="123" w:type="dxa"/>
            <w:tcBorders/>
            <w:vAlign w:val="bottom"/>
          </w:tcPr>
          <w:p>
            <w:pPr>
              <w:pStyle w:val="TableContents"/>
              <w:bidi w:val="0"/>
              <w:spacing w:before="0" w:after="283"/>
              <w:jc w:val="left"/>
              <w:rPr/>
            </w:pPr>
            <w:r>
              <w:rPr/>
              <w:t>  </w:t>
            </w:r>
          </w:p>
        </w:tc>
        <w:tc>
          <w:tcPr>
            <w:tcW w:w="6239"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Shares will vest and become exercisable on the following schedule: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 Warrant Shares will vest and become immediately exercisable on the Issue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 shares will vest and become exercisable upon each [***] of aggregate Amazon Payments (as defined below) for Aries PCIe Smart Retimers, up to a total of [***] of aggregate Amazon Payments for Aries PCIe Smart Retimers;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 shares will vest and become exercisable upon each [***] of aggregate Amazon Payments for Taurus Ethernet solutions, up to a total of [***] of aggregate Amazon Payments for Taurus Ethernet solutions;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900"/>
        <w:gridCol w:w="123"/>
        <w:gridCol w:w="6182"/>
      </w:tblGrid>
      <w:tr>
        <w:trPr/>
        <w:tc>
          <w:tcPr>
            <w:tcW w:w="39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18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90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182" w:type="dxa"/>
            <w:tcBorders/>
          </w:tcPr>
          <w:p>
            <w:pPr>
              <w:pStyle w:val="TableContents"/>
              <w:bidi w:val="0"/>
              <w:spacing w:before="0" w:after="0"/>
              <w:jc w:val="left"/>
              <w:rPr>
                <w:rFonts w:ascii="Times New Roman" w:hAnsi="Times New Roman"/>
                <w:sz w:val="20"/>
              </w:rPr>
            </w:pPr>
            <w:r>
              <w:rPr>
                <w:rFonts w:ascii="Times New Roman" w:hAnsi="Times New Roman"/>
                <w:sz w:val="20"/>
              </w:rPr>
              <w:t>(d)   [***] shares will vest and become exercisable upon each [***] of aggregate Amazon Payments for Leo CXL memory accelerators, up to a total of [***] of aggregate Amazon Payments for Leo CXL memory accelerators.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i/>
                <w:sz w:val="20"/>
              </w:rPr>
              <w:t>Amazon Payments</w:t>
            </w:r>
            <w:r>
              <w:rPr>
                <w:rFonts w:ascii="Times New Roman" w:hAnsi="Times New Roman"/>
                <w:sz w:val="20"/>
              </w:rPr>
              <w:t xml:space="preserve"> means any direct or indirect payments by Holder, Amazon.com, Inc., and/or its affiliates (</w:t>
            </w:r>
            <w:r>
              <w:rPr>
                <w:rFonts w:ascii="Times New Roman" w:hAnsi="Times New Roman"/>
                <w:b/>
                <w:i/>
                <w:sz w:val="20"/>
              </w:rPr>
              <w:t>Amazon</w:t>
            </w:r>
            <w:r>
              <w:rPr>
                <w:rFonts w:ascii="Times New Roman" w:hAnsi="Times New Roman"/>
                <w:sz w:val="20"/>
              </w:rPr>
              <w:t>) for products provided by the Company (including its affiliates) or direct payments from third-parties working on behalf of, at the direction of, or for the benefit of Amazon, in each case under the Commercial Agreement or otherwise on or after the Issue Date.</w:t>
            </w:r>
          </w:p>
        </w:tc>
      </w:tr>
      <w:tr>
        <w:trPr>
          <w:trHeight w:val="120" w:hRule="atLeast"/>
        </w:trPr>
        <w:tc>
          <w:tcPr>
            <w:tcW w:w="390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283"/>
              <w:jc w:val="left"/>
              <w:rPr>
                <w:b/>
              </w:rPr>
            </w:pPr>
            <w:r>
              <w:rPr>
                <w:b/>
              </w:rPr>
              <w:t>Acceleration of Vesting:</w:t>
            </w:r>
          </w:p>
        </w:tc>
        <w:tc>
          <w:tcPr>
            <w:tcW w:w="123" w:type="dxa"/>
            <w:tcBorders/>
            <w:vAlign w:val="bottom"/>
          </w:tcPr>
          <w:p>
            <w:pPr>
              <w:pStyle w:val="TableContents"/>
              <w:bidi w:val="0"/>
              <w:spacing w:before="0" w:after="283"/>
              <w:jc w:val="left"/>
              <w:rPr/>
            </w:pPr>
            <w:r>
              <w:rPr/>
              <w:t>  </w:t>
            </w:r>
          </w:p>
        </w:tc>
        <w:tc>
          <w:tcPr>
            <w:tcW w:w="6182" w:type="dxa"/>
            <w:tcBorders/>
          </w:tcPr>
          <w:p>
            <w:pPr>
              <w:pStyle w:val="TableContents"/>
              <w:bidi w:val="0"/>
              <w:spacing w:before="0" w:after="283"/>
              <w:jc w:val="left"/>
              <w:rPr/>
            </w:pPr>
            <w:r>
              <w:rPr/>
              <w:t>Any unvested Warrant Shares will become fully vested and immediately exercisable immediately prior to the consummation of any Change of Control</w:t>
            </w:r>
          </w:p>
        </w:tc>
      </w:tr>
      <w:tr>
        <w:trPr>
          <w:trHeight w:val="120" w:hRule="atLeast"/>
        </w:trPr>
        <w:tc>
          <w:tcPr>
            <w:tcW w:w="390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283"/>
              <w:jc w:val="left"/>
              <w:rPr>
                <w:b/>
              </w:rPr>
            </w:pPr>
            <w:r>
              <w:rPr>
                <w:b/>
              </w:rPr>
              <w:t>Commercial Agreement related to Warrant (the Commercial Agreement):</w:t>
            </w:r>
          </w:p>
        </w:tc>
        <w:tc>
          <w:tcPr>
            <w:tcW w:w="123" w:type="dxa"/>
            <w:tcBorders/>
            <w:vAlign w:val="bottom"/>
          </w:tcPr>
          <w:p>
            <w:pPr>
              <w:pStyle w:val="TableContents"/>
              <w:bidi w:val="0"/>
              <w:spacing w:before="0" w:after="283"/>
              <w:jc w:val="left"/>
              <w:rPr/>
            </w:pPr>
            <w:r>
              <w:rPr/>
              <w:t>  </w:t>
            </w:r>
          </w:p>
        </w:tc>
        <w:tc>
          <w:tcPr>
            <w:tcW w:w="6182" w:type="dxa"/>
            <w:tcBorders/>
          </w:tcPr>
          <w:p>
            <w:pPr>
              <w:pStyle w:val="TableContents"/>
              <w:bidi w:val="0"/>
              <w:spacing w:before="0" w:after="283"/>
              <w:jc w:val="left"/>
              <w:rPr/>
            </w:pPr>
            <w:r>
              <w:rPr/>
              <w:t>Global Purchase Agreement, dated as of October 6, 2022, by and between the Company and its Affiliates and Amazon Data Services, Inc.</w:t>
            </w:r>
          </w:p>
        </w:tc>
      </w:tr>
      <w:tr>
        <w:trPr>
          <w:trHeight w:val="120" w:hRule="atLeast"/>
        </w:trPr>
        <w:tc>
          <w:tcPr>
            <w:tcW w:w="3900" w:type="dxa"/>
            <w:tcBorders/>
            <w:vAlign w:val="center"/>
          </w:tcPr>
          <w:p>
            <w:pPr>
              <w:pStyle w:val="TableContents"/>
              <w:bidi w:val="0"/>
              <w:spacing w:before="0" w:after="283"/>
              <w:jc w:val="left"/>
              <w:rPr>
                <w:sz w:val="4"/>
                <w:szCs w:val="4"/>
              </w:rPr>
            </w:pPr>
            <w:r>
              <w:rPr>
                <w:sz w:val="4"/>
                <w:szCs w:val="4"/>
              </w:rPr>
            </w:r>
          </w:p>
        </w:tc>
        <w:tc>
          <w:tcPr>
            <w:tcW w:w="6305" w:type="dxa"/>
            <w:gridSpan w:val="2"/>
            <w:tcBorders/>
            <w:vAlign w:val="center"/>
          </w:tcPr>
          <w:p>
            <w:pPr>
              <w:pStyle w:val="TableContents"/>
              <w:bidi w:val="0"/>
              <w:spacing w:before="0" w:after="283"/>
              <w:jc w:val="left"/>
              <w:rPr>
                <w:sz w:val="4"/>
                <w:szCs w:val="4"/>
              </w:rPr>
            </w:pPr>
            <w:r>
              <w:rPr>
                <w:sz w:val="4"/>
                <w:szCs w:val="4"/>
              </w:rPr>
            </w:r>
          </w:p>
        </w:tc>
      </w:tr>
      <w:tr>
        <w:trPr/>
        <w:tc>
          <w:tcPr>
            <w:tcW w:w="3900" w:type="dxa"/>
            <w:tcBorders/>
          </w:tcPr>
          <w:p>
            <w:pPr>
              <w:pStyle w:val="TableContents"/>
              <w:bidi w:val="0"/>
              <w:spacing w:before="0" w:after="283"/>
              <w:jc w:val="left"/>
              <w:rPr>
                <w:b/>
              </w:rPr>
            </w:pPr>
            <w:r>
              <w:rPr>
                <w:b/>
              </w:rPr>
              <w:t>Right of First Notice:</w:t>
            </w:r>
          </w:p>
        </w:tc>
        <w:tc>
          <w:tcPr>
            <w:tcW w:w="123" w:type="dxa"/>
            <w:tcBorders/>
            <w:vAlign w:val="bottom"/>
          </w:tcPr>
          <w:p>
            <w:pPr>
              <w:pStyle w:val="TableContents"/>
              <w:bidi w:val="0"/>
              <w:spacing w:before="0" w:after="283"/>
              <w:jc w:val="left"/>
              <w:rPr/>
            </w:pPr>
            <w:r>
              <w:rPr/>
              <w:t>  </w:t>
            </w:r>
          </w:p>
        </w:tc>
        <w:tc>
          <w:tcPr>
            <w:tcW w:w="6182" w:type="dxa"/>
            <w:tcBorders/>
          </w:tcPr>
          <w:p>
            <w:pPr>
              <w:pStyle w:val="TableContents"/>
              <w:bidi w:val="0"/>
              <w:spacing w:before="0" w:after="283"/>
              <w:jc w:val="left"/>
              <w:rPr/>
            </w:pPr>
            <w:r>
              <w:rPr/>
              <w:t>In the event the Company or the equityholders of the Company propose to accept any bona fide written offer from any person for, or enter into negotiations with any person with respect to, a Change of Control (each such proposed Change of Control, and negotiations with respect thereto, a </w:t>
            </w:r>
            <w:r>
              <w:rPr>
                <w:b/>
                <w:i/>
              </w:rPr>
              <w:t>Proposed Sale</w:t>
            </w:r>
            <w:r>
              <w:rPr/>
              <w:t>), the Company will [***] provide to the Holder written notice thereof (a </w:t>
            </w:r>
            <w:r>
              <w:rPr>
                <w:b/>
                <w:i/>
              </w:rPr>
              <w:t>Sale Notice</w:t>
            </w:r>
            <w:r>
              <w:rPr/>
              <w:t>) that it has received a proposal to enter into a Proposed Sale. The Sale Notice shall not contain any other information regarding the proposal and the Company shall not be obligated to identify the name of the requesting or offering party or disclose any other information.</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B </w:t>
      </w:r>
    </w:p>
    <w:p>
      <w:pPr>
        <w:pStyle w:val="TextBody"/>
        <w:bidi w:val="0"/>
        <w:spacing w:before="48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Company Name: ______________ (the </w:t>
            </w:r>
            <w:r>
              <w:rPr>
                <w:rFonts w:ascii="Times New Roman" w:hAnsi="Times New Roman"/>
                <w:b/>
                <w:i/>
                <w:sz w:val="20"/>
              </w:rPr>
              <w:t>Company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Address: 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irrevocably elects to exercise the attached Warrant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___________ Warrant Shares pursuant to the terms of the attached Warrant, for an aggregate purchase price of $ 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issuance exercise with respect to ___________ Warrant Shares pursuant to the terms of the attached Warrant, for such number of shares of equity of the Company as is determined pursuant to Section 1.4 of the attached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requests that certificates for such shares be issued in the name of and delivered to the address of the undersigned, at the address stated below and, if such shares are not all the shares that may be issued pursuant to the attached Warrant, that a new Warrant evidencing the right to purchase the balance of such shares be registered in the name of, and delivered to, the undersigned at the address stated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
        <w:gridCol w:w="107"/>
        <w:gridCol w:w="9617"/>
      </w:tblGrid>
      <w:tr>
        <w:trPr/>
        <w:tc>
          <w:tcPr>
            <w:tcW w:w="48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61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81" w:type="dxa"/>
            <w:tcBorders/>
            <w:vAlign w:val="center"/>
          </w:tcPr>
          <w:p>
            <w:pPr>
              <w:pStyle w:val="TableContents"/>
              <w:bidi w:val="0"/>
              <w:spacing w:before="0" w:after="283"/>
              <w:jc w:val="left"/>
              <w:rPr>
                <w:sz w:val="4"/>
                <w:szCs w:val="4"/>
              </w:rPr>
            </w:pPr>
            <w:r>
              <w:rPr>
                <w:sz w:val="4"/>
                <w:szCs w:val="4"/>
              </w:rPr>
            </w:r>
          </w:p>
        </w:tc>
        <w:tc>
          <w:tcPr>
            <w:tcW w:w="9724" w:type="dxa"/>
            <w:gridSpan w:val="2"/>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left"/>
              <w:rPr/>
            </w:pPr>
            <w:r>
              <w:rPr/>
              <w:t>Balance shares for new Warrant to be issued: </w:t>
            </w:r>
            <w:r>
              <w:rPr>
                <w:u w:val="single"/>
              </w:rPr>
              <w:t>                                                                                                                                                                   </w:t>
            </w:r>
          </w:p>
        </w:tc>
      </w:tr>
      <w:tr>
        <w:trPr>
          <w:trHeight w:val="240" w:hRule="atLeast"/>
        </w:trPr>
        <w:tc>
          <w:tcPr>
            <w:tcW w:w="481" w:type="dxa"/>
            <w:tcBorders/>
            <w:vAlign w:val="center"/>
          </w:tcPr>
          <w:p>
            <w:pPr>
              <w:pStyle w:val="TableContents"/>
              <w:bidi w:val="0"/>
              <w:spacing w:before="0" w:after="283"/>
              <w:jc w:val="left"/>
              <w:rPr>
                <w:sz w:val="4"/>
                <w:szCs w:val="4"/>
              </w:rPr>
            </w:pPr>
            <w:r>
              <w:rPr>
                <w:sz w:val="4"/>
                <w:szCs w:val="4"/>
              </w:rPr>
            </w:r>
          </w:p>
        </w:tc>
        <w:tc>
          <w:tcPr>
            <w:tcW w:w="9724" w:type="dxa"/>
            <w:gridSpan w:val="2"/>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left"/>
              <w:rPr/>
            </w:pPr>
            <w:r>
              <w:rPr/>
              <w:t>Dated: </w:t>
            </w:r>
            <w:r>
              <w:rPr>
                <w:u w:val="single"/>
              </w:rPr>
              <w:t>                                                                                                                                                                                                                                               </w:t>
            </w:r>
          </w:p>
        </w:tc>
      </w:tr>
      <w:tr>
        <w:trPr>
          <w:trHeight w:val="240" w:hRule="atLeast"/>
        </w:trPr>
        <w:tc>
          <w:tcPr>
            <w:tcW w:w="481" w:type="dxa"/>
            <w:tcBorders/>
            <w:vAlign w:val="center"/>
          </w:tcPr>
          <w:p>
            <w:pPr>
              <w:pStyle w:val="TableContents"/>
              <w:bidi w:val="0"/>
              <w:spacing w:before="0" w:after="283"/>
              <w:jc w:val="left"/>
              <w:rPr>
                <w:sz w:val="4"/>
                <w:szCs w:val="4"/>
              </w:rPr>
            </w:pPr>
            <w:r>
              <w:rPr>
                <w:sz w:val="4"/>
                <w:szCs w:val="4"/>
              </w:rPr>
            </w:r>
          </w:p>
        </w:tc>
        <w:tc>
          <w:tcPr>
            <w:tcW w:w="9724" w:type="dxa"/>
            <w:gridSpan w:val="2"/>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left"/>
              <w:rPr/>
            </w:pPr>
            <w:r>
              <w:rPr/>
              <w:t>Name of Holder of Warrant: </w:t>
            </w:r>
            <w:r>
              <w:rPr>
                <w:u w:val="single"/>
              </w:rPr>
              <w:t>                                                                                                                                                                                                    </w:t>
            </w:r>
          </w:p>
        </w:tc>
      </w:tr>
      <w:tr>
        <w:trPr/>
        <w:tc>
          <w:tcPr>
            <w:tcW w:w="48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center"/>
              <w:rPr/>
            </w:pPr>
            <w:r>
              <w:rPr/>
              <w:t>(please print)</w:t>
            </w:r>
          </w:p>
        </w:tc>
      </w:tr>
      <w:tr>
        <w:trPr>
          <w:trHeight w:val="240" w:hRule="atLeast"/>
        </w:trPr>
        <w:tc>
          <w:tcPr>
            <w:tcW w:w="481" w:type="dxa"/>
            <w:tcBorders/>
            <w:vAlign w:val="center"/>
          </w:tcPr>
          <w:p>
            <w:pPr>
              <w:pStyle w:val="TableContents"/>
              <w:bidi w:val="0"/>
              <w:spacing w:before="0" w:after="283"/>
              <w:jc w:val="left"/>
              <w:rPr>
                <w:sz w:val="4"/>
                <w:szCs w:val="4"/>
              </w:rPr>
            </w:pPr>
            <w:r>
              <w:rPr>
                <w:sz w:val="4"/>
                <w:szCs w:val="4"/>
              </w:rPr>
            </w:r>
          </w:p>
        </w:tc>
        <w:tc>
          <w:tcPr>
            <w:tcW w:w="9724" w:type="dxa"/>
            <w:gridSpan w:val="2"/>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left"/>
              <w:rPr/>
            </w:pPr>
            <w:r>
              <w:rPr/>
              <w:t>Address: </w:t>
            </w:r>
            <w:r>
              <w:rPr>
                <w:u w:val="single"/>
              </w:rPr>
              <w:t>                                                                                                                                                                                                                                          </w:t>
            </w:r>
          </w:p>
        </w:tc>
      </w:tr>
      <w:tr>
        <w:trPr>
          <w:trHeight w:val="240" w:hRule="atLeast"/>
        </w:trPr>
        <w:tc>
          <w:tcPr>
            <w:tcW w:w="481" w:type="dxa"/>
            <w:tcBorders/>
            <w:vAlign w:val="center"/>
          </w:tcPr>
          <w:p>
            <w:pPr>
              <w:pStyle w:val="TableContents"/>
              <w:bidi w:val="0"/>
              <w:spacing w:before="0" w:after="283"/>
              <w:jc w:val="left"/>
              <w:rPr>
                <w:sz w:val="4"/>
                <w:szCs w:val="4"/>
              </w:rPr>
            </w:pPr>
            <w:r>
              <w:rPr>
                <w:sz w:val="4"/>
                <w:szCs w:val="4"/>
              </w:rPr>
            </w:r>
          </w:p>
        </w:tc>
        <w:tc>
          <w:tcPr>
            <w:tcW w:w="9724" w:type="dxa"/>
            <w:gridSpan w:val="2"/>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9617" w:type="dxa"/>
            <w:tcBorders/>
          </w:tcPr>
          <w:p>
            <w:pPr>
              <w:pStyle w:val="TableContents"/>
              <w:bidi w:val="0"/>
              <w:spacing w:before="0" w:after="283"/>
              <w:jc w:val="left"/>
              <w:rPr/>
            </w:pPr>
            <w:r>
              <w:rPr/>
              <w:t>Signature: </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C </w:t>
      </w:r>
    </w:p>
    <w:p>
      <w:pPr>
        <w:pStyle w:val="TextBody"/>
        <w:bidi w:val="0"/>
        <w:spacing w:before="480" w:after="0"/>
        <w:jc w:val="center"/>
        <w:rPr>
          <w:rFonts w:ascii="Times New Roman" w:hAnsi="Times New Roman"/>
          <w:b/>
          <w:sz w:val="20"/>
        </w:rPr>
      </w:pPr>
      <w:r>
        <w:rPr>
          <w:rFonts w:ascii="Times New Roman" w:hAnsi="Times New Roman"/>
          <w:b/>
          <w:sz w:val="20"/>
        </w:rPr>
        <w:t xml:space="preserve">COMPANY CAPITALIZATION AS OF ISSUE DATE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D </w:t>
      </w:r>
    </w:p>
    <w:p>
      <w:pPr>
        <w:pStyle w:val="TextBody"/>
        <w:bidi w:val="0"/>
        <w:spacing w:before="480" w:after="0"/>
        <w:jc w:val="center"/>
        <w:rPr>
          <w:rFonts w:ascii="Times New Roman" w:hAnsi="Times New Roman"/>
          <w:b/>
          <w:sz w:val="20"/>
        </w:rPr>
      </w:pPr>
      <w:r>
        <w:rPr>
          <w:rFonts w:ascii="Times New Roman" w:hAnsi="Times New Roman"/>
          <w:b/>
          <w:sz w:val="20"/>
        </w:rPr>
        <w:t xml:space="preserve">ASSIGNMENT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the undersigned sells, assigns, and transfers to the transferee named below the attached Warrant, together with all right, title, and interest, and does irrevocably constitute and appoint the transfer agent of the Company as the undersigneds attorney, to transfer said Warrant on the books of the Company, with full power of substitution in the premises. </w:t>
      </w:r>
    </w:p>
    <w:p>
      <w:pPr>
        <w:pStyle w:val="TextBody"/>
        <w:bidi w:val="0"/>
        <w:spacing w:before="0" w:after="0"/>
        <w:jc w:val="left"/>
        <w:rPr/>
      </w:pPr>
      <w:r>
        <w:rPr/>
        <w:t> </w:t>
      </w:r>
    </w:p>
    <w:tbl>
      <w:tblPr>
        <w:tblW w:w="4000" w:type="pct"/>
        <w:jc w:val="right"/>
        <w:tblInd w:w="0" w:type="dxa"/>
        <w:tblLayout w:type="fixed"/>
        <w:tblCellMar>
          <w:top w:w="0" w:type="dxa"/>
          <w:left w:w="0" w:type="dxa"/>
          <w:bottom w:w="0" w:type="dxa"/>
          <w:right w:w="0" w:type="dxa"/>
        </w:tblCellMar>
      </w:tblPr>
      <w:tblGrid>
        <w:gridCol w:w="480"/>
        <w:gridCol w:w="94"/>
        <w:gridCol w:w="7590"/>
      </w:tblGrid>
      <w:tr>
        <w:trPr/>
        <w:tc>
          <w:tcPr>
            <w:tcW w:w="480"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759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Name of Company: </w:t>
            </w:r>
            <w:r>
              <w:rPr>
                <w:u w:val="single"/>
              </w:rPr>
              <w:t>                                                                                                                                                                                                                      </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Dated: </w:t>
            </w:r>
            <w:r>
              <w:rPr>
                <w:u w:val="single"/>
              </w:rPr>
              <w:t>                                                                                                                                                                                                                                               </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Name of Holder of Warrant: </w:t>
            </w:r>
            <w:r>
              <w:rPr>
                <w:u w:val="single"/>
              </w:rPr>
              <w:t>                                                                                                                                                                                                    </w:t>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center"/>
              <w:rPr/>
            </w:pPr>
            <w:r>
              <w:rPr/>
              <w:t>(please print)</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Address: </w:t>
            </w:r>
            <w:r>
              <w:rPr>
                <w:u w:val="single"/>
              </w:rPr>
              <w:t>                                                                                                                                                                                                                                          </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Signature: </w:t>
            </w:r>
            <w:r>
              <w:rPr>
                <w:u w:val="single"/>
              </w:rPr>
              <w:t>                                                                                                                                                                                                                                        </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Name of transferee: </w:t>
            </w:r>
            <w:r>
              <w:rPr>
                <w:u w:val="single"/>
              </w:rPr>
              <w:t>                                                                                                                                                                                                                      </w:t>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center"/>
              <w:rPr/>
            </w:pPr>
            <w:r>
              <w:rPr/>
              <w:t>(please print)</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7684"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7590" w:type="dxa"/>
            <w:tcBorders/>
          </w:tcPr>
          <w:p>
            <w:pPr>
              <w:pStyle w:val="TableContents"/>
              <w:bidi w:val="0"/>
              <w:spacing w:before="0" w:after="283"/>
              <w:jc w:val="left"/>
              <w:rPr/>
            </w:pPr>
            <w:r>
              <w:rPr/>
              <w:t>Address of transferee: </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 Certain information in this document has been excluded pursuant to Regulation S-K, Item 601(b)(10). Such excluded information is not material and is of the type that the registrant treats as private and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NO. 1 TO WARRANT AGREEMENT </w:t>
      </w:r>
    </w:p>
    <w:p>
      <w:pPr>
        <w:pStyle w:val="TextBody"/>
        <w:bidi w:val="0"/>
        <w:spacing w:before="240" w:after="0"/>
        <w:jc w:val="left"/>
        <w:rPr>
          <w:rFonts w:ascii="Times New Roman" w:hAnsi="Times New Roman"/>
          <w:sz w:val="20"/>
        </w:rPr>
      </w:pPr>
      <w:r>
        <w:rPr>
          <w:rFonts w:ascii="Times New Roman" w:hAnsi="Times New Roman"/>
          <w:sz w:val="20"/>
        </w:rPr>
        <w:t>This Amendment No. 1 (this </w:t>
      </w:r>
      <w:r>
        <w:rPr>
          <w:rFonts w:ascii="Times New Roman" w:hAnsi="Times New Roman"/>
          <w:b/>
          <w:sz w:val="20"/>
        </w:rPr>
        <w:t>Amendment</w:t>
      </w:r>
      <w:r>
        <w:rPr>
          <w:rFonts w:ascii="Times New Roman" w:hAnsi="Times New Roman"/>
          <w:sz w:val="20"/>
        </w:rPr>
        <w:t>) is made as of September 1, 2023 by and between Astera Labs, Inc. (the </w:t>
      </w:r>
      <w:r>
        <w:rPr>
          <w:rFonts w:ascii="Times New Roman" w:hAnsi="Times New Roman"/>
          <w:b/>
          <w:sz w:val="20"/>
        </w:rPr>
        <w:t>Company</w:t>
      </w:r>
      <w:r>
        <w:rPr>
          <w:rFonts w:ascii="Times New Roman" w:hAnsi="Times New Roman"/>
          <w:sz w:val="20"/>
        </w:rPr>
        <w:t>), and Amazon.com NV Investment Holdings LLC, a wholly-owned subsidiary of Amazon.com, Inc., (</w:t>
      </w:r>
      <w:r>
        <w:rPr>
          <w:rFonts w:ascii="Times New Roman" w:hAnsi="Times New Roman"/>
          <w:b/>
          <w:sz w:val="20"/>
        </w:rPr>
        <w:t>Holder</w:t>
      </w:r>
      <w:r>
        <w:rPr>
          <w:rFonts w:ascii="Times New Roman" w:hAnsi="Times New Roman"/>
          <w:sz w:val="20"/>
        </w:rPr>
        <w:t>), and constitutes an amendment to that certain Warrant, dated as of October 14, 2022 (the </w:t>
      </w:r>
      <w:r>
        <w:rPr>
          <w:rFonts w:ascii="Times New Roman" w:hAnsi="Times New Roman"/>
          <w:b/>
          <w:sz w:val="20"/>
        </w:rPr>
        <w:t>Existing Warrant Agreement</w:t>
      </w:r>
      <w:r>
        <w:rPr>
          <w:rFonts w:ascii="Times New Roman" w:hAnsi="Times New Roman"/>
          <w:sz w:val="20"/>
        </w:rPr>
        <w:t xml:space="preserve">), issued by the Company to Holder. Capitalized terms used but not otherwise defined in this Amendment shall have the meanings given to such terms in the Existing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section 10.4 of the Existing Warrant Agreement provides that the Company and Holder may amend the Existing Warrant Agreement by the written consent of the Company and Holder;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Holder desire to amend the Existing Warrant Agreement to amend Exhibits A and C thereto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 of Existing Warrant Agreement  Exhibits A and C</w:t>
      </w:r>
      <w:r>
        <w:rPr>
          <w:rFonts w:ascii="Times New Roman" w:hAnsi="Times New Roman"/>
          <w:sz w:val="20"/>
        </w:rPr>
        <w:t xml:space="preserve">. The Existing Warrant Agreement is hereby amended by deleting, in their entirety, Exhibits A and C attached thereto and replacing with the Exhibits A and C attached hereto.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 xml:space="preserve">Governing Law; Severability; Jurisdiction; Venue. </w:t>
      </w:r>
      <w:r>
        <w:rPr>
          <w:rFonts w:ascii="Times New Roman" w:hAnsi="Times New Roman"/>
          <w:sz w:val="20"/>
        </w:rPr>
        <w:t xml:space="preserve">This Amendment will be governed by and construed under the laws of the State of Washington without regard to principles of conflict of laws. If any Section or provision of this Amendment is found or held to be illegal, invalid, or unenforceable, the remainder of this Amendment will be valid and enforceable and the parties in good faith will negotiate a substitute, valid, and enforceable provision that most nearly effects the parties intent in entering into this Amendment. The parties irrevocably consent to the jurisdiction and venue of the state and federal courts located in King County, Washington in connection with any action relating to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Counterparts</w:t>
      </w:r>
      <w:r>
        <w:rPr>
          <w:rFonts w:ascii="Times New Roman" w:hAnsi="Times New Roman"/>
          <w:sz w:val="20"/>
        </w:rPr>
        <w:t xml:space="preserve">.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Warrant to remain in effect</w:t>
      </w:r>
      <w:r>
        <w:rPr>
          <w:rFonts w:ascii="Times New Roman" w:hAnsi="Times New Roman"/>
          <w:sz w:val="20"/>
        </w:rPr>
        <w:t xml:space="preserve">. Except as expressly modified and amended herein, the Existing Warrant Agreement shall continue in full force and effect in accordance with its terms. Upon the execution of this Amendment, the Existing Warrant Agreement shall be deemed to be modified and amended in accordance with this Amendment and each reference in the Warrant to this Warrant, hereunder, hereof, or herein shall mean and be a reference to the Existing Warrant Agreement as supplemented and amended hereby, unless the context otherwise requires, and all the terms and conditions of this Amendment shall be and be deemed to be part of the terms and conditions of the Existing Warrant Agreement for any and all purposes.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Entire Agreement</w:t>
      </w:r>
      <w:r>
        <w:rPr>
          <w:rFonts w:ascii="Times New Roman" w:hAnsi="Times New Roman"/>
          <w:sz w:val="20"/>
        </w:rPr>
        <w:t xml:space="preserve">.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WITNESS WHEREOF, each of the parties has caused this Amendment to be duly executed as a deed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b/>
              </w:rPr>
            </w:pPr>
            <w:r>
              <w:rPr>
                <w:b/>
              </w:rPr>
              <w:t>Astera Labs, Inc.</w:t>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Sanjay Gajendra</w:t>
            </w:r>
          </w:p>
        </w:tc>
      </w:tr>
      <w:tr>
        <w:trPr/>
        <w:tc>
          <w:tcPr>
            <w:tcW w:w="70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Sanjay Gajendra</w:t>
            </w:r>
          </w:p>
        </w:tc>
      </w:tr>
      <w:tr>
        <w:trPr/>
        <w:tc>
          <w:tcPr>
            <w:tcW w:w="70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0"/>
        <w:gridCol w:w="60"/>
        <w:gridCol w:w="3332"/>
      </w:tblGrid>
      <w:tr>
        <w:trPr/>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2" w:type="dxa"/>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b/>
              </w:rPr>
            </w:pPr>
            <w:r>
              <w:rPr>
                <w:b/>
              </w:rPr>
              <w:t>Amazon.com NV Investment Holdings LLC</w:t>
            </w:r>
          </w:p>
        </w:tc>
      </w:tr>
      <w:tr>
        <w:trPr>
          <w:trHeight w:val="240" w:hRule="atLeast"/>
        </w:trPr>
        <w:tc>
          <w:tcPr>
            <w:tcW w:w="690" w:type="dxa"/>
            <w:tcBorders/>
            <w:vAlign w:val="center"/>
          </w:tcPr>
          <w:p>
            <w:pPr>
              <w:pStyle w:val="TableContents"/>
              <w:bidi w:val="0"/>
              <w:spacing w:before="0" w:after="283"/>
              <w:jc w:val="left"/>
              <w:rPr>
                <w:sz w:val="4"/>
                <w:szCs w:val="4"/>
              </w:rPr>
            </w:pPr>
            <w:r>
              <w:rPr>
                <w:sz w:val="4"/>
                <w:szCs w:val="4"/>
              </w:rPr>
            </w:r>
          </w:p>
        </w:tc>
        <w:tc>
          <w:tcPr>
            <w:tcW w:w="3392" w:type="dxa"/>
            <w:gridSpan w:val="2"/>
            <w:tcBorders/>
            <w:vAlign w:val="center"/>
          </w:tcPr>
          <w:p>
            <w:pPr>
              <w:pStyle w:val="TableContents"/>
              <w:bidi w:val="0"/>
              <w:spacing w:before="0" w:after="283"/>
              <w:jc w:val="left"/>
              <w:rPr>
                <w:sz w:val="4"/>
                <w:szCs w:val="4"/>
              </w:rPr>
            </w:pPr>
            <w:r>
              <w:rPr>
                <w:sz w:val="4"/>
                <w:szCs w:val="4"/>
              </w:rPr>
            </w:r>
          </w:p>
        </w:tc>
      </w:tr>
      <w:tr>
        <w:trPr/>
        <w:tc>
          <w:tcPr>
            <w:tcW w:w="6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Sarah Groom</w:t>
            </w:r>
          </w:p>
        </w:tc>
      </w:tr>
      <w:tr>
        <w:trPr/>
        <w:tc>
          <w:tcPr>
            <w:tcW w:w="6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Sarah Groom</w:t>
            </w:r>
          </w:p>
        </w:tc>
      </w:tr>
      <w:tr>
        <w:trPr/>
        <w:tc>
          <w:tcPr>
            <w:tcW w:w="6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2"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A </w:t>
      </w:r>
    </w:p>
    <w:p>
      <w:pPr>
        <w:pStyle w:val="TextBody"/>
        <w:bidi w:val="0"/>
        <w:spacing w:before="480" w:after="0"/>
        <w:jc w:val="center"/>
        <w:rPr>
          <w:rFonts w:ascii="Times New Roman" w:hAnsi="Times New Roman"/>
          <w:b/>
          <w:sz w:val="20"/>
        </w:rPr>
      </w:pPr>
      <w:r>
        <w:rPr>
          <w:rFonts w:ascii="Times New Roman" w:hAnsi="Times New Roman"/>
          <w:b/>
          <w:sz w:val="20"/>
        </w:rPr>
        <w:t xml:space="preserve">SCHEDULE OF TERMS OF WARRANT SHARES </w:t>
      </w:r>
    </w:p>
    <w:p>
      <w:pPr>
        <w:pStyle w:val="TextBody"/>
        <w:bidi w:val="0"/>
        <w:spacing w:before="240" w:after="0"/>
        <w:jc w:val="center"/>
        <w:rPr>
          <w:rFonts w:ascii="Times New Roman" w:hAnsi="Times New Roman"/>
          <w:sz w:val="20"/>
        </w:rPr>
      </w:pPr>
      <w:r>
        <w:rPr>
          <w:rFonts w:ascii="Times New Roman" w:hAnsi="Times New Roman"/>
          <w:sz w:val="20"/>
        </w:rPr>
        <w:t xml:space="preserve">Capitalized terms used in this Schedule of Terms have the meanings ascribed to those terms in the Warrant.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4"/>
        <w:gridCol w:w="203"/>
        <w:gridCol w:w="5308"/>
      </w:tblGrid>
      <w:tr>
        <w:trPr/>
        <w:tc>
          <w:tcPr>
            <w:tcW w:w="469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Name of Company:</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Astera Labs, Inc.</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Jurisdiction of formation and type of entity (e.g., corporation, LLC, etc.):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 Corporation</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Class of equity subject to Warrant:</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Common</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Holders fully diluted ownership percentage of the Company (as of the Issue Date, calculated on a post-exercise basis assuming full vesting of the Warrant):</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Number of Warrant Shares (as of the Issue Date, assuming full vesting of the Warrant):</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4,632,350</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Assumed valuation (as of the Issue Date) on a fully diluted, post-exercise basis:</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Exercise Price (as of the Issue Date):</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$10.1695 per Warrant Share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Exercise Period:</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From the Issue Date until the 7th anniversary of the Issue Date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Vesting Schedule:</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Shares will vest and become exercisable on the following schedule: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 Warrant Shares will vest and become immediately exercisable on the Issue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 shares will vest and become exercisable upon each [***] of aggregate Amazon Payments (as defined below) for Aries PCIe Smart Retimers, up to a total of [***] of aggregate Amazon Payments for Aries PCIe Smart Retimers;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 shares will vest and become exercisable upon each [***] of aggregate Amazon Payments for Taurus Ethernet solutions, up to a total of [***] of aggregate Amazon Payments for Taurus Ethernet solutions;</w:t>
            </w:r>
          </w:p>
          <w:p>
            <w:pPr>
              <w:pStyle w:val="TableContents"/>
              <w:bidi w:val="0"/>
              <w:spacing w:before="0" w:after="2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94"/>
        <w:gridCol w:w="204"/>
        <w:gridCol w:w="5307"/>
      </w:tblGrid>
      <w:tr>
        <w:trPr/>
        <w:tc>
          <w:tcPr>
            <w:tcW w:w="469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5307" w:type="dxa"/>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0"/>
              <w:jc w:val="left"/>
              <w:rPr>
                <w:rFonts w:ascii="Times New Roman" w:hAnsi="Times New Roman"/>
                <w:sz w:val="20"/>
              </w:rPr>
            </w:pPr>
            <w:r>
              <w:rPr>
                <w:rFonts w:ascii="Times New Roman" w:hAnsi="Times New Roman"/>
                <w:sz w:val="20"/>
              </w:rPr>
              <w:t>(d)   [***] shares will vest and become exercisable upon each [***] of aggregate Amazon Payments for Leo CXL memory accelerators, up to a total of [***] of aggregate Amazon Payments for Leo CXL memory accelerators;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(e)   [***] shares will vest and become exercisable upon each [***] of aggregate Amazon Payments for any product in the Scorpio product line [***], up to a total of [***] of aggregate Amazon Payments for Scorpio [***] products.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b/>
                <w:i/>
                <w:sz w:val="20"/>
              </w:rPr>
              <w:t>Amazon Payments</w:t>
            </w:r>
            <w:r>
              <w:rPr>
                <w:rFonts w:ascii="Times New Roman" w:hAnsi="Times New Roman"/>
                <w:sz w:val="20"/>
              </w:rPr>
              <w:t> means any direct or indirect payments by Holder, Amazon.com, Inc., and/or its affiliates (</w:t>
            </w:r>
            <w:r>
              <w:rPr>
                <w:rFonts w:ascii="Times New Roman" w:hAnsi="Times New Roman"/>
                <w:b/>
                <w:i/>
                <w:sz w:val="20"/>
              </w:rPr>
              <w:t>Amazon</w:t>
            </w:r>
            <w:r>
              <w:rPr>
                <w:rFonts w:ascii="Times New Roman" w:hAnsi="Times New Roman"/>
                <w:sz w:val="20"/>
              </w:rPr>
              <w:t>) for products provided by the Company (including its affiliates) or direct payments from third-parties working on behalf of, at the direction of, or for the benefit of Amazon, in each case under the Commercial Agreement or otherwise on or after the Issue Date.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Acceleration of Vesting:</w:t>
            </w:r>
          </w:p>
        </w:tc>
        <w:tc>
          <w:tcPr>
            <w:tcW w:w="204"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Any unvested Warrant Shares will become fully vested and immediately exercisable immediately prior to the consummation of any Change of Control</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Commercial Agreement related to Warrant (the Commercial Agreement):</w:t>
            </w:r>
          </w:p>
        </w:tc>
        <w:tc>
          <w:tcPr>
            <w:tcW w:w="204"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Global Purchase Agreement, dated as of October 6, 2022, by and between the Company and its Affiliates and Amazon Data Services, Inc.</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b/>
              </w:rPr>
            </w:pPr>
            <w:r>
              <w:rPr>
                <w:b/>
              </w:rPr>
              <w:t>Right of First Notice:</w:t>
            </w:r>
          </w:p>
        </w:tc>
        <w:tc>
          <w:tcPr>
            <w:tcW w:w="204"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In the event the Company or the equityholders of the Company propose to accept any bona fide written offer from any person for, or enter into negotiations with any person with respect to, a Change of Control (each such proposed Change of Control, and negotiations with respect thereto, a </w:t>
            </w:r>
            <w:r>
              <w:rPr>
                <w:b/>
                <w:i/>
              </w:rPr>
              <w:t>Proposed Sale</w:t>
            </w:r>
            <w:r>
              <w:rPr/>
              <w:t>), the Company will [***] provide to the Holder written notice thereof (a </w:t>
            </w:r>
            <w:r>
              <w:rPr>
                <w:b/>
                <w:i/>
              </w:rPr>
              <w:t>Sale Notice</w:t>
            </w:r>
            <w:r>
              <w:rPr/>
              <w:t>) that it has received a proposal to enter into a Proposed Sale. The Sale Notice shall not contain any other information regarding the proposal and the Company shall not be obligated to identify the name of the requesting or offering party or disclose any other information.</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Exhibit C </w:t>
      </w:r>
    </w:p>
    <w:p>
      <w:pPr>
        <w:pStyle w:val="TextBody"/>
        <w:bidi w:val="0"/>
        <w:spacing w:before="480" w:after="0"/>
        <w:jc w:val="center"/>
        <w:rPr>
          <w:rFonts w:ascii="Times New Roman" w:hAnsi="Times New Roman"/>
          <w:b/>
          <w:sz w:val="20"/>
        </w:rPr>
      </w:pPr>
      <w:r>
        <w:rPr>
          <w:rFonts w:ascii="Times New Roman" w:hAnsi="Times New Roman"/>
          <w:b/>
          <w:sz w:val="20"/>
        </w:rPr>
        <w:t xml:space="preserve">COMPANY CAPITALIZATION AS OF ISSUE DATE </w:t>
      </w:r>
    </w:p>
    <w:p>
      <w:pPr>
        <w:pStyle w:val="TextBody"/>
        <w:bidi w:val="0"/>
        <w:spacing w:before="0" w:after="0"/>
        <w:jc w:val="right"/>
        <w:rPr>
          <w:rFonts w:ascii="Times New Roman" w:hAnsi="Times New Roman"/>
          <w:b/>
          <w:sz w:val="20"/>
        </w:rPr>
      </w:pPr>
      <w:bookmarkStart w:id="63" w:name="d285484dex211.htm"/>
      <w:bookmarkStart w:id="64" w:name="ksd285484dex211"/>
      <w:bookmarkEnd w:id="63"/>
      <w:bookmarkEnd w:id="64"/>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of the Registrant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9"/>
        <w:gridCol w:w="123"/>
        <w:gridCol w:w="4993"/>
      </w:tblGrid>
      <w:tr>
        <w:trPr/>
        <w:tc>
          <w:tcPr>
            <w:tcW w:w="508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93"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3" w:type="dxa"/>
            <w:tcBorders/>
            <w:vAlign w:val="bottom"/>
          </w:tcPr>
          <w:p>
            <w:pPr>
              <w:pStyle w:val="TableContents"/>
              <w:bidi w:val="0"/>
              <w:spacing w:before="0" w:after="283"/>
              <w:jc w:val="left"/>
              <w:rPr/>
            </w:pPr>
            <w:r>
              <w:rPr/>
              <w:t>  </w:t>
            </w:r>
          </w:p>
        </w:tc>
        <w:tc>
          <w:tcPr>
            <w:tcW w:w="499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 Organization</w:t>
            </w:r>
          </w:p>
        </w:tc>
      </w:tr>
      <w:tr>
        <w:trPr/>
        <w:tc>
          <w:tcPr>
            <w:tcW w:w="5089" w:type="dxa"/>
            <w:tcBorders/>
          </w:tcPr>
          <w:p>
            <w:pPr>
              <w:pStyle w:val="TableContents"/>
              <w:bidi w:val="0"/>
              <w:spacing w:before="0" w:after="0"/>
              <w:jc w:val="both"/>
              <w:rPr>
                <w:rFonts w:ascii="Times New Roman" w:hAnsi="Times New Roman"/>
                <w:sz w:val="20"/>
              </w:rPr>
            </w:pPr>
            <w:r>
              <w:rPr>
                <w:rFonts w:ascii="Times New Roman" w:hAnsi="Times New Roman"/>
                <w:sz w:val="20"/>
              </w:rPr>
              <w:t>Astera Labs Taiwan Limited</w:t>
            </w:r>
          </w:p>
        </w:tc>
        <w:tc>
          <w:tcPr>
            <w:tcW w:w="123" w:type="dxa"/>
            <w:tcBorders/>
            <w:vAlign w:val="bottom"/>
          </w:tcPr>
          <w:p>
            <w:pPr>
              <w:pStyle w:val="TableContents"/>
              <w:bidi w:val="0"/>
              <w:spacing w:before="0" w:after="283"/>
              <w:jc w:val="left"/>
              <w:rPr/>
            </w:pPr>
            <w:r>
              <w:rPr/>
              <w:t>  </w:t>
            </w:r>
          </w:p>
        </w:tc>
        <w:tc>
          <w:tcPr>
            <w:tcW w:w="4993" w:type="dxa"/>
            <w:tcBorders/>
          </w:tcPr>
          <w:p>
            <w:pPr>
              <w:pStyle w:val="TableContents"/>
              <w:bidi w:val="0"/>
              <w:spacing w:before="0" w:after="283"/>
              <w:jc w:val="center"/>
              <w:rPr/>
            </w:pPr>
            <w:r>
              <w:rPr/>
              <w:t>Taiwan</w:t>
            </w:r>
          </w:p>
        </w:tc>
      </w:tr>
      <w:tr>
        <w:trPr/>
        <w:tc>
          <w:tcPr>
            <w:tcW w:w="5089" w:type="dxa"/>
            <w:tcBorders/>
          </w:tcPr>
          <w:p>
            <w:pPr>
              <w:pStyle w:val="TableContents"/>
              <w:bidi w:val="0"/>
              <w:spacing w:before="0" w:after="0"/>
              <w:jc w:val="both"/>
              <w:rPr>
                <w:rFonts w:ascii="Times New Roman" w:hAnsi="Times New Roman"/>
                <w:sz w:val="20"/>
              </w:rPr>
            </w:pPr>
            <w:r>
              <w:rPr>
                <w:rFonts w:ascii="Times New Roman" w:hAnsi="Times New Roman"/>
                <w:sz w:val="20"/>
              </w:rPr>
              <w:t>Astera Labs Canada Inc.</w:t>
            </w:r>
          </w:p>
        </w:tc>
        <w:tc>
          <w:tcPr>
            <w:tcW w:w="123" w:type="dxa"/>
            <w:tcBorders/>
            <w:vAlign w:val="bottom"/>
          </w:tcPr>
          <w:p>
            <w:pPr>
              <w:pStyle w:val="TableContents"/>
              <w:bidi w:val="0"/>
              <w:spacing w:before="0" w:after="283"/>
              <w:jc w:val="left"/>
              <w:rPr/>
            </w:pPr>
            <w:r>
              <w:rPr/>
              <w:t>  </w:t>
            </w:r>
          </w:p>
        </w:tc>
        <w:tc>
          <w:tcPr>
            <w:tcW w:w="4993" w:type="dxa"/>
            <w:tcBorders/>
          </w:tcPr>
          <w:p>
            <w:pPr>
              <w:pStyle w:val="TableContents"/>
              <w:bidi w:val="0"/>
              <w:spacing w:before="0" w:after="283"/>
              <w:jc w:val="center"/>
              <w:rPr/>
            </w:pPr>
            <w:r>
              <w:rPr/>
              <w:t>Canada</w:t>
            </w:r>
          </w:p>
        </w:tc>
      </w:tr>
      <w:tr>
        <w:trPr/>
        <w:tc>
          <w:tcPr>
            <w:tcW w:w="5089" w:type="dxa"/>
            <w:tcBorders/>
          </w:tcPr>
          <w:p>
            <w:pPr>
              <w:pStyle w:val="TableContents"/>
              <w:bidi w:val="0"/>
              <w:spacing w:before="0" w:after="0"/>
              <w:jc w:val="both"/>
              <w:rPr>
                <w:rFonts w:ascii="Times New Roman" w:hAnsi="Times New Roman"/>
                <w:sz w:val="20"/>
              </w:rPr>
            </w:pPr>
            <w:r>
              <w:rPr>
                <w:rFonts w:ascii="Times New Roman" w:hAnsi="Times New Roman"/>
                <w:sz w:val="20"/>
              </w:rPr>
              <w:t>Astera Labs Israel Ltd.</w:t>
            </w:r>
          </w:p>
        </w:tc>
        <w:tc>
          <w:tcPr>
            <w:tcW w:w="123" w:type="dxa"/>
            <w:tcBorders/>
            <w:vAlign w:val="bottom"/>
          </w:tcPr>
          <w:p>
            <w:pPr>
              <w:pStyle w:val="TableContents"/>
              <w:bidi w:val="0"/>
              <w:spacing w:before="0" w:after="283"/>
              <w:jc w:val="left"/>
              <w:rPr/>
            </w:pPr>
            <w:r>
              <w:rPr/>
              <w:t>  </w:t>
            </w:r>
          </w:p>
        </w:tc>
        <w:tc>
          <w:tcPr>
            <w:tcW w:w="4993" w:type="dxa"/>
            <w:tcBorders/>
          </w:tcPr>
          <w:p>
            <w:pPr>
              <w:pStyle w:val="TableContents"/>
              <w:bidi w:val="0"/>
              <w:spacing w:before="0" w:after="283"/>
              <w:jc w:val="center"/>
              <w:rPr/>
            </w:pPr>
            <w:r>
              <w:rPr/>
              <w:t>Israel</w:t>
            </w:r>
          </w:p>
        </w:tc>
      </w:tr>
      <w:tr>
        <w:trPr/>
        <w:tc>
          <w:tcPr>
            <w:tcW w:w="5089" w:type="dxa"/>
            <w:tcBorders/>
          </w:tcPr>
          <w:p>
            <w:pPr>
              <w:pStyle w:val="TableContents"/>
              <w:bidi w:val="0"/>
              <w:spacing w:before="0" w:after="0"/>
              <w:jc w:val="both"/>
              <w:rPr>
                <w:rFonts w:ascii="Times New Roman" w:hAnsi="Times New Roman"/>
                <w:sz w:val="20"/>
              </w:rPr>
            </w:pPr>
            <w:r>
              <w:rPr>
                <w:rFonts w:ascii="Times New Roman" w:hAnsi="Times New Roman"/>
                <w:sz w:val="20"/>
              </w:rPr>
              <w:t>Astera (Shanghai) Information Technology Co., Ltd.</w:t>
            </w:r>
          </w:p>
        </w:tc>
        <w:tc>
          <w:tcPr>
            <w:tcW w:w="123" w:type="dxa"/>
            <w:tcBorders/>
            <w:vAlign w:val="bottom"/>
          </w:tcPr>
          <w:p>
            <w:pPr>
              <w:pStyle w:val="TableContents"/>
              <w:bidi w:val="0"/>
              <w:spacing w:before="0" w:after="283"/>
              <w:jc w:val="left"/>
              <w:rPr/>
            </w:pPr>
            <w:r>
              <w:rPr/>
              <w:t>  </w:t>
            </w:r>
          </w:p>
        </w:tc>
        <w:tc>
          <w:tcPr>
            <w:tcW w:w="4993" w:type="dxa"/>
            <w:tcBorders/>
          </w:tcPr>
          <w:p>
            <w:pPr>
              <w:pStyle w:val="TableContents"/>
              <w:bidi w:val="0"/>
              <w:spacing w:before="0" w:after="283"/>
              <w:jc w:val="center"/>
              <w:rPr/>
            </w:pPr>
            <w:r>
              <w:rPr/>
              <w:t>China</w:t>
            </w:r>
          </w:p>
        </w:tc>
      </w:tr>
    </w:tbl>
    <w:p>
      <w:pPr>
        <w:pStyle w:val="TextBody"/>
        <w:bidi w:val="0"/>
        <w:spacing w:before="0" w:after="0"/>
        <w:jc w:val="right"/>
        <w:rPr>
          <w:rFonts w:ascii="Times New Roman" w:hAnsi="Times New Roman"/>
          <w:b/>
          <w:sz w:val="20"/>
        </w:rPr>
      </w:pPr>
      <w:bookmarkStart w:id="65" w:name="d285484dex231.htm"/>
      <w:bookmarkStart w:id="66" w:name="ksd285484dex231"/>
      <w:bookmarkEnd w:id="65"/>
      <w:bookmarkEnd w:id="6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this Registration Statement on Form S-1 of Astera Labs, Inc. of our report dated February 20, 2024 relating to the financial statements of Astera Labs, Inc., which appears in this Registration Statement.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0" w:after="0"/>
        <w:jc w:val="left"/>
        <w:rPr>
          <w:rFonts w:ascii="Times New Roman" w:hAnsi="Times New Roman"/>
          <w:sz w:val="20"/>
        </w:rPr>
      </w:pPr>
      <w:r>
        <w:rPr>
          <w:rFonts w:ascii="Times New Roman" w:hAnsi="Times New Roman"/>
          <w:sz w:val="20"/>
        </w:rPr>
        <w:t xml:space="preserve">February 20, 2024 </w:t>
      </w:r>
    </w:p>
    <w:p>
      <w:pPr>
        <w:pStyle w:val="TextBody"/>
        <w:bidi w:val="0"/>
        <w:spacing w:before="0" w:after="0"/>
        <w:jc w:val="right"/>
        <w:rPr>
          <w:rFonts w:ascii="Times New Roman" w:hAnsi="Times New Roman"/>
          <w:b/>
          <w:sz w:val="20"/>
        </w:rPr>
      </w:pPr>
      <w:bookmarkStart w:id="67" w:name="d285484dexfilingfees.htm"/>
      <w:bookmarkStart w:id="68" w:name="ksd285484dexfilingfees"/>
      <w:bookmarkEnd w:id="67"/>
      <w:bookmarkEnd w:id="6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S-1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Astera Labs,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11340" w:type="dxa"/>
        <w:jc w:val="center"/>
        <w:tblInd w:w="0" w:type="dxa"/>
        <w:tblLayout w:type="fixed"/>
        <w:tblCellMar>
          <w:top w:w="0" w:type="dxa"/>
          <w:left w:w="0" w:type="dxa"/>
          <w:bottom w:w="0" w:type="dxa"/>
          <w:right w:w="0" w:type="dxa"/>
        </w:tblCellMar>
      </w:tblPr>
      <w:tblGrid>
        <w:gridCol w:w="770"/>
        <w:gridCol w:w="60"/>
        <w:gridCol w:w="695"/>
        <w:gridCol w:w="60"/>
        <w:gridCol w:w="2045"/>
        <w:gridCol w:w="60"/>
        <w:gridCol w:w="1205"/>
        <w:gridCol w:w="60"/>
        <w:gridCol w:w="1025"/>
        <w:gridCol w:w="60"/>
        <w:gridCol w:w="1370"/>
        <w:gridCol w:w="60"/>
        <w:gridCol w:w="1385"/>
        <w:gridCol w:w="60"/>
        <w:gridCol w:w="1205"/>
        <w:gridCol w:w="60"/>
        <w:gridCol w:w="116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1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Security </w:t>
            </w:r>
          </w:p>
          <w:p>
            <w:pPr>
              <w:pStyle w:val="TableContents"/>
              <w:bidi w:val="0"/>
              <w:spacing w:before="0" w:after="20"/>
              <w:jc w:val="center"/>
              <w:rPr>
                <w:rFonts w:ascii="Times New Roman" w:hAnsi="Times New Roman"/>
                <w:sz w:val="14"/>
              </w:rPr>
            </w:pPr>
            <w:r>
              <w:rPr>
                <w:rFonts w:ascii="Times New Roman" w:hAnsi="Times New Roman"/>
                <w:sz w:val="14"/>
              </w:rPr>
              <w:t>Type 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4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20"/>
              <w:jc w:val="center"/>
              <w:rPr>
                <w:rFonts w:ascii="Times New Roman" w:hAnsi="Times New Roman"/>
                <w:sz w:val="14"/>
              </w:rPr>
            </w:pPr>
            <w:r>
              <w:rPr>
                <w:rFonts w:ascii="Times New Roman" w:hAnsi="Times New Roman"/>
                <w:sz w:val="14"/>
              </w:rPr>
              <w:t>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Amount</w:t>
              <w:br/>
              <w:t>Registered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Proposed</w:t>
              <w:br/>
              <w:t>Maximum</w:t>
              <w:br/>
              <w:t>Aggregate</w:t>
              <w:br/>
              <w:t>Offering Price</w:t>
              <w:br/>
              <w:t>Per Unit</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b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Price(1)(2)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Amount of</w:t>
              <w:br/>
              <w:t>Registration</w:t>
              <w:br/>
              <w:t>Fee</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10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8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center"/>
              <w:rPr/>
            </w:pPr>
            <w:r>
              <w:rPr/>
              <w:t>Fees to Be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Equity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04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Common Stock, $0.0001 </w:t>
            </w:r>
          </w:p>
          <w:p>
            <w:pPr>
              <w:pStyle w:val="TableContents"/>
              <w:bidi w:val="0"/>
              <w:spacing w:before="0" w:after="20"/>
              <w:jc w:val="center"/>
              <w:rPr>
                <w:rFonts w:ascii="Times New Roman" w:hAnsi="Times New Roman"/>
                <w:sz w:val="20"/>
              </w:rPr>
            </w:pPr>
            <w:r>
              <w:rPr>
                <w:rFonts w:ascii="Times New Roman" w:hAnsi="Times New Roman"/>
                <w:sz w:val="20"/>
              </w:rPr>
              <w:t>par value per share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Rule 457(o)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center"/>
              <w:rPr/>
            </w:pPr>
            <w:r>
              <w:rPr/>
              <w:t>  </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center"/>
              <w:rPr/>
            </w:pPr>
            <w:r>
              <w:rPr/>
              <w:t>  </w:t>
            </w: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$100,000,000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0.00014760 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$14,760.00</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21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150" w:type="dxa"/>
            <w:gridSpan w:val="7"/>
            <w:tcBorders/>
            <w:vAlign w:val="bottom"/>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$100,000,000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0.00014760 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$14,760.00</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21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150" w:type="dxa"/>
            <w:gridSpan w:val="7"/>
            <w:tcBorders/>
            <w:vAlign w:val="bottom"/>
          </w:tcPr>
          <w:p>
            <w:pPr>
              <w:pStyle w:val="TableContents"/>
              <w:bidi w:val="0"/>
              <w:spacing w:before="0" w:after="283"/>
              <w:jc w:val="center"/>
              <w:rPr/>
            </w:pPr>
            <w:r>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21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tcBorders>
            <w:tcMar>
              <w:left w:w="160" w:type="dxa"/>
            </w:tcMa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5150" w:type="dxa"/>
            <w:gridSpan w:val="7"/>
            <w:tcBorders/>
            <w:vAlign w:val="bottom"/>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7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521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4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150" w:type="dxa"/>
            <w:gridSpan w:val="7"/>
            <w:tcBorders>
              <w:bottom w:val="single" w:sz="2" w:space="0" w:color="000000"/>
            </w:tcBorders>
            <w:tcMar>
              <w:bottom w:w="28" w:type="dxa"/>
            </w:tcMar>
            <w:vAlign w:val="bottom"/>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0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$14,760.00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3"/>
        <w:gridCol w:w="9290"/>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(1)</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Estimated solely for the purpose of computing the amount of the registration fee pursuant to Rule 457(o) under the Securities Act of 1933, as amended. </w:t>
            </w:r>
          </w:p>
        </w:tc>
      </w:tr>
    </w:tbl>
    <w:tbl>
      <w:tblPr>
        <w:tblW w:w="5000" w:type="pct"/>
        <w:jc w:val="left"/>
        <w:tblInd w:w="0" w:type="dxa"/>
        <w:tblLayout w:type="fixed"/>
        <w:tblCellMar>
          <w:top w:w="0" w:type="dxa"/>
          <w:left w:w="0" w:type="dxa"/>
          <w:bottom w:w="0" w:type="dxa"/>
          <w:right w:w="0" w:type="dxa"/>
        </w:tblCellMar>
      </w:tblPr>
      <w:tblGrid>
        <w:gridCol w:w="407"/>
        <w:gridCol w:w="306"/>
        <w:gridCol w:w="203"/>
        <w:gridCol w:w="9289"/>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(2)</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Includes the aggregate offering price of additional shares of our Common Stock that the underwriters have the option to purchase, if any.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19.jpeg"/><Relationship Id="rId22" Type="http://schemas.openxmlformats.org/officeDocument/2006/relationships/image" Target="media/image19.jpeg"/><Relationship Id="rId23" Type="http://schemas.openxmlformats.org/officeDocument/2006/relationships/image" Target="media/image19.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499</Pages>
  <Words>216134</Words>
  <Characters>1143260</Characters>
  <CharactersWithSpaces>1365975</CharactersWithSpaces>
  <Paragraphs>17567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