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Lynch Desmond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00"/>
        <w:spacing w:after="0" w:line="320" w:lineRule="auto"/>
        <w:rPr>
          <w:sz w:val="20"/>
          <w:szCs w:val="20"/>
          <w:color w:val="auto"/>
        </w:rPr>
      </w:pPr>
      <w:r>
        <w:rPr>
          <w:rFonts w:ascii="Times New Roman" w:cs="Times New Roman" w:eastAsia="Times New Roman" w:hAnsi="Times New Roman"/>
          <w:sz w:val="17"/>
          <w:szCs w:val="17"/>
          <w:color w:val="0000FF"/>
        </w:rPr>
        <w:t>C/O ASTERA LABS, INC. 2345 NORTH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Astera Labs,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95131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42,501</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42,501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7,083</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49,584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an award of restricted stock units ("RSUs") granted on May 1, 2026 under the Astera Labs, Inc. 2024 Stock Option and Incentive Plan (the "Plan"). Such award provides that the RSUs shall vest as to 25% on February 15, 2027 and the remaining RSUs shall vest in 12 equal quarterly installments thereafter, subject to the Reporting Person's continuous service relationship with the Issuer through each applicable vesting date. Each RSU represents a contingent right to receive one share of the Issuer's Common Stock.</w:t>
      </w:r>
    </w:p>
    <w:p>
      <w:pPr>
        <w:spacing w:after="0" w:line="2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an award of RSUs granted on May 1, 2026 under the Plan. Such award provides that the RSUs shall vest as to 100% on February 15, 2027, subject to the Reporting Person's continuous service relationship with the Issuer through each applicable vesting date. Each RSU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Philip Mazzara,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1085" TargetMode="External"/><Relationship Id="rId14" Type="http://schemas.openxmlformats.org/officeDocument/2006/relationships/hyperlink" Target="http://www.sec.gov/cgi-bin/browse-edgar?action=getcompany&amp;CIK=00017362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2026-05-05T18:03:57Z</dcterms:created>
  <dcterms:modified xsi:type="dcterms:W3CDTF">2026-05-05T18:03:57Z</dcterms:modified>
</cp:coreProperties>
</file>